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AFA97" w14:textId="77777777" w:rsidR="00AE0E53" w:rsidRDefault="00AE0E53" w:rsidP="00AE0E53">
      <w:pPr>
        <w:jc w:val="center"/>
        <w:rPr>
          <w:sz w:val="24"/>
          <w:szCs w:val="22"/>
          <w:rFonts w:ascii="Times New Roman" w:hAnsi="Times New Roman"/>
        </w:rPr>
      </w:pPr>
      <w:r>
        <w:rPr>
          <w:sz w:val="24"/>
          <w:rFonts w:ascii="Times New Roman" w:hAnsi="Times New Roman"/>
        </w:rPr>
        <w:t xml:space="preserve">HR</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sz w:val="24"/>
          <w:rFonts w:ascii="Times New Roman" w:hAnsi="Times New Roman"/>
        </w:rPr>
      </w:pPr>
      <w:r>
        <w:rPr>
          <w:sz w:val="24"/>
          <w:rFonts w:ascii="Times New Roman" w:hAnsi="Times New Roman"/>
        </w:rPr>
        <w:t xml:space="preserve">PRILOG II.</w:t>
      </w:r>
    </w:p>
    <w:p w14:paraId="2357EEF1" w14:textId="77777777" w:rsidR="00081E64" w:rsidRPr="00037E7B" w:rsidRDefault="00081E64" w:rsidP="00081E64">
      <w:pPr>
        <w:jc w:val="center"/>
        <w:rPr>
          <w:sz w:val="24"/>
          <w:rFonts w:ascii="Times New Roman" w:hAnsi="Times New Roman"/>
        </w:rPr>
      </w:pPr>
      <w:r>
        <w:rPr>
          <w:sz w:val="24"/>
          <w:rFonts w:ascii="Times New Roman" w:hAnsi="Times New Roman"/>
        </w:rPr>
        <w:t xml:space="preserve">„PRILOG II.</w:t>
      </w:r>
    </w:p>
    <w:p w14:paraId="7F765EB3" w14:textId="77777777" w:rsidR="00081E64" w:rsidRPr="00037E7B" w:rsidRDefault="00081E64" w:rsidP="00081E64">
      <w:pPr>
        <w:jc w:val="center"/>
        <w:rPr>
          <w:b/>
          <w:sz w:val="24"/>
          <w:rFonts w:ascii="Times New Roman" w:hAnsi="Times New Roman"/>
        </w:rPr>
      </w:pPr>
      <w:r>
        <w:rPr>
          <w:b/>
          <w:sz w:val="24"/>
          <w:rFonts w:ascii="Times New Roman" w:hAnsi="Times New Roman"/>
        </w:rPr>
        <w:t xml:space="preserve">UPUTE ZA IZVJEŠĆIVANJE O REGULATORNOM KAPITALU I KAPITALNIM ZAHTJEVIMA</w:t>
      </w:r>
    </w:p>
    <w:p w14:paraId="7B1C0058" w14:textId="77777777" w:rsidR="00081E64" w:rsidRDefault="00081E64" w:rsidP="00081E64"/>
    <w:p w14:paraId="7C4631F7" w14:textId="77777777" w:rsidR="00081E64" w:rsidRDefault="00081E64" w:rsidP="00081E64">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DIO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UPUTE ZA POJEDINE OBRASCE</w:t>
      </w:r>
    </w:p>
    <w:p w14:paraId="2BF7D6A1" w14:textId="77777777" w:rsidR="00081E64" w:rsidRDefault="00081E64" w:rsidP="00081E64">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5DF1A8BE" w14:textId="77777777" w:rsidR="00081E64" w:rsidRPr="00736637" w:rsidRDefault="00081E64" w:rsidP="00081E64">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32874A85" w14:textId="5A263197" w:rsidR="00E7212E" w:rsidRPr="002A677E" w:rsidRDefault="00E7212E" w:rsidP="00E7212E">
      <w:pPr>
        <w:pStyle w:val="Instructionsberschrift2"/>
        <w:numPr>
          <w:ilvl w:val="0"/>
          <w:numId w:val="0"/>
        </w:numPr>
        <w:ind w:left="357" w:hanging="357"/>
        <w:rPr>
          <w:sz w:val="24"/>
          <w:u w:val="none"/>
          <w:rFonts w:ascii="Times New Roman" w:hAnsi="Times New Roman" w:cs="Times New Roman"/>
        </w:rPr>
      </w:pPr>
      <w:r>
        <w:rPr>
          <w:sz w:val="24"/>
          <w:u w:val="none"/>
          <w:rFonts w:ascii="Times New Roman" w:hAnsi="Times New Roman"/>
        </w:rPr>
        <w:t xml:space="preserve">8.</w:t>
      </w:r>
      <w:r>
        <w:rPr>
          <w:sz w:val="24"/>
          <w:u w:val="none"/>
          <w:rFonts w:ascii="Times New Roman" w:hAnsi="Times New Roman"/>
        </w:rPr>
        <w:t xml:space="preserve"> </w:t>
      </w:r>
      <w:r>
        <w:rPr>
          <w:sz w:val="24"/>
          <w:u w:val="none"/>
          <w:rFonts w:ascii="Times New Roman" w:hAnsi="Times New Roman"/>
        </w:rPr>
        <w:t xml:space="preserve">Pokriće gubitka za neprihodonosne izloženosti (NPE LC)</w:t>
      </w:r>
    </w:p>
    <w:p w14:paraId="0B42A092" w14:textId="77777777" w:rsidR="00E7212E" w:rsidRPr="002A677E" w:rsidRDefault="00E7212E" w:rsidP="00E7212E">
      <w:pPr>
        <w:pStyle w:val="Instructionsberschrift2"/>
        <w:numPr>
          <w:ilvl w:val="0"/>
          <w:numId w:val="0"/>
        </w:numPr>
        <w:ind w:left="357" w:hanging="357"/>
        <w:rPr>
          <w:sz w:val="24"/>
          <w:u w:val="none"/>
          <w:rFonts w:ascii="Times New Roman" w:hAnsi="Times New Roman" w:cs="Times New Roman"/>
        </w:rPr>
      </w:pPr>
      <w:bookmarkStart w:id="0" w:name="_Toc19715887"/>
      <w:bookmarkStart w:id="1" w:name="_Toc151714527"/>
      <w:r>
        <w:rPr>
          <w:sz w:val="24"/>
          <w:u w:val="none"/>
          <w:rFonts w:ascii="Times New Roman" w:hAnsi="Times New Roman"/>
        </w:rPr>
        <w:t xml:space="preserve">8.1.</w:t>
      </w:r>
      <w:r>
        <w:rPr>
          <w:sz w:val="24"/>
          <w:u w:val="none"/>
          <w:rFonts w:ascii="Times New Roman" w:hAnsi="Times New Roman"/>
        </w:rPr>
        <w:tab/>
      </w:r>
      <w:r>
        <w:rPr>
          <w:sz w:val="24"/>
          <w:u w:val="none"/>
          <w:rFonts w:ascii="Times New Roman" w:hAnsi="Times New Roman"/>
        </w:rPr>
        <w:t xml:space="preserve">Opće napomene</w:t>
      </w:r>
      <w:bookmarkEnd w:id="0"/>
      <w:bookmarkEnd w:id="1"/>
      <w:r>
        <w:rPr>
          <w:sz w:val="24"/>
          <w:u w:val="none"/>
          <w:rFonts w:ascii="Times New Roman" w:hAnsi="Times New Roman"/>
        </w:rPr>
        <w:t xml:space="preserve"> </w:t>
      </w:r>
    </w:p>
    <w:p w14:paraId="1616B9C3" w14:textId="77777777" w:rsidR="00E7212E" w:rsidRPr="002A677E" w:rsidRDefault="00E7212E" w:rsidP="00E7212E">
      <w:pPr>
        <w:pStyle w:val="InstructionsText2"/>
        <w:numPr>
          <w:ilvl w:val="0"/>
          <w:numId w:val="0"/>
        </w:numPr>
        <w:ind w:left="993"/>
        <w:rPr>
          <w:noProof/>
        </w:rPr>
      </w:pPr>
      <w:r w:rsidRPr="005B57EC">
        <w:fldChar w:fldCharType="begin" w:dirty="true"/>
      </w:r>
      <w:r w:rsidRPr="002A677E">
        <w:instrText xml:space="preserve"> seq paragraphs </w:instrText>
      </w:r>
      <w:r w:rsidRPr="005B57EC">
        <w:fldChar w:fldCharType="separate"/>
      </w:r>
      <w:r>
        <w:t>202</w:t>
      </w:r>
      <w:r w:rsidRPr="005B57EC">
        <w:fldChar w:fldCharType="end"/>
      </w:r>
      <w:r>
        <w:t xml:space="preserve">.</w:t>
      </w:r>
      <w:r>
        <w:t xml:space="preserve"> </w:t>
      </w:r>
      <w:r>
        <w:t xml:space="preserve">Obrasci za pokriće gubitka za neprihodonosne izloženosti sadržavaju informacije o neprihodonosnim izloženostima (NPE) za potrebe izračuna zahtjeva za minimalno pokriće za neprihodonosne izloženosti kako je navedeno u člancima 47.a, 47.b i 47.c Uredbe (EU) br. 575/2013.</w:t>
      </w:r>
    </w:p>
    <w:p w14:paraId="00E13494" w14:textId="77777777" w:rsidR="00E7212E" w:rsidRPr="002A677E" w:rsidRDefault="00E7212E" w:rsidP="00E7212E">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t>203</w:t>
      </w:r>
      <w:r w:rsidRPr="005B57EC">
        <w:fldChar w:fldCharType="end"/>
      </w:r>
      <w:r>
        <w:t xml:space="preserve">.</w:t>
      </w:r>
      <w:r>
        <w:t xml:space="preserve"> </w:t>
      </w:r>
      <w:r>
        <w:t xml:space="preserve">Skupina obrazaca sadržava skup od tri obrasca:</w:t>
      </w:r>
    </w:p>
    <w:p w14:paraId="5AAAB0DC" w14:textId="77777777" w:rsidR="00E7212E" w:rsidRDefault="00E7212E" w:rsidP="00E7212E">
      <w:pPr>
        <w:pStyle w:val="ListParagraph"/>
        <w:numPr>
          <w:ilvl w:val="0"/>
          <w:numId w:val="3"/>
        </w:numPr>
        <w:ind w:left="1077" w:hanging="357"/>
        <w:rPr>
          <w:sz w:val="24"/>
          <w:rFonts w:ascii="Times New Roman" w:hAnsi="Times New Roman"/>
        </w:rPr>
      </w:pPr>
      <w:r>
        <w:rPr>
          <w:sz w:val="24"/>
          <w:rFonts w:ascii="Times New Roman" w:hAnsi="Times New Roman"/>
        </w:rPr>
        <w:t xml:space="preserve">Izračun odbitaka za neprihodonosne izloženosti (C 35.01): ovo je obrazac pregleda u kojem se navodi primjenjivi iznos nedostatnog pokrića, koji se izračunava kao razlika između ukupnih zahtjeva za minimalno pokriće za neprihodonosne izloženosti i ukupnih rezerviranja i ispravaka ili odbitaka koji su već izvršeni.</w:t>
      </w:r>
      <w:r>
        <w:rPr>
          <w:sz w:val="24"/>
          <w:rFonts w:ascii="Times New Roman" w:hAnsi="Times New Roman"/>
        </w:rPr>
        <w:t xml:space="preserve"> </w:t>
      </w:r>
      <w:r>
        <w:rPr>
          <w:sz w:val="24"/>
          <w:rFonts w:ascii="Times New Roman" w:hAnsi="Times New Roman"/>
        </w:rPr>
        <w:t xml:space="preserve">Obrazac obuhvaća neprihodonosne izloženosti za koje nije odobrena mjera restrukturiranja i neprihodonosne restrukturirane izloženosti.</w:t>
      </w:r>
    </w:p>
    <w:p w14:paraId="614FD05F" w14:textId="77777777" w:rsidR="00E7212E" w:rsidRPr="002A677E" w:rsidRDefault="00E7212E" w:rsidP="00E7212E">
      <w:pPr>
        <w:pStyle w:val="ListParagraph"/>
        <w:numPr>
          <w:ilvl w:val="0"/>
          <w:numId w:val="3"/>
        </w:numPr>
        <w:ind w:left="1077" w:hanging="357"/>
        <w:rPr>
          <w:sz w:val="24"/>
          <w:rFonts w:ascii="Times New Roman" w:hAnsi="Times New Roman"/>
        </w:rPr>
      </w:pPr>
      <w:r>
        <w:rPr>
          <w:sz w:val="24"/>
          <w:rFonts w:ascii="Times New Roman" w:hAnsi="Times New Roman"/>
        </w:rPr>
        <w:t xml:space="preserve">Zahtjevi za minimalno pokriće i vrijednosti izloženosti neprihodonosnih izloženosti, ne uključujući restrukturirane izloženosti iz članka 47.c stavka 6. Uredbe (EU) br. 575/2013 (C 35.02): u obrascu se izračunavaju ukupni zahtjevi za minimalno pokriće za neprihodonosne izloženosti koje nisu restrukturirane neprihodonosne izloženosti iz članka 47.c stavka 6. Uredbe (EU) br. 575/2013, navodeći faktore koji se trebaju primijeniti na vrijednosti izloženosti za potrebe izračuna s obzirom na to je li izloženost osigurana ili neosigurana i s obzirom na vrijeme od kada je izloženost postala neprihodonosna.</w:t>
      </w:r>
    </w:p>
    <w:p w14:paraId="4DF9B9C2" w14:textId="77777777" w:rsidR="00E7212E" w:rsidRPr="002A677E" w:rsidRDefault="00E7212E" w:rsidP="00E7212E">
      <w:pPr>
        <w:pStyle w:val="ListParagraph"/>
        <w:numPr>
          <w:ilvl w:val="0"/>
          <w:numId w:val="3"/>
        </w:numPr>
        <w:spacing w:line="276" w:lineRule="auto"/>
        <w:ind w:left="1077" w:hanging="357"/>
        <w:rPr>
          <w:sz w:val="24"/>
          <w:rFonts w:ascii="Times New Roman" w:hAnsi="Times New Roman"/>
        </w:rPr>
      </w:pPr>
      <w:r>
        <w:rPr>
          <w:sz w:val="24"/>
          <w:rFonts w:ascii="Times New Roman" w:hAnsi="Times New Roman"/>
        </w:rPr>
        <w:t xml:space="preserve">Zahtjevi za minimalno pokriće i vrijednosti izloženosti neprihodonosnih restrukturiranih izloženosti iz članka 47.c stavka 6. Uredbe (EU) br. 575/2013 (C 35,03): u obrascu se izračunavaju ukupni zahtjevi za minimalno pokriće za neprihodonosne izloženosti koje nisu restrukturirane neprihodonosne izloženosti iz članka 47.c stavka 6. Uredbe (EU) br. 575/2013, navodeći faktore koji se trebaju primijeniti na vrijednosti izloženosti za potrebe izračuna s obzirom na to je li izloženost osigurana ili neosigurana i s obzirom na vrijeme od kada je izloženost postala neprihodonosna.</w:t>
      </w:r>
      <w:r>
        <w:rPr>
          <w:sz w:val="24"/>
          <w:rFonts w:ascii="Times New Roman" w:hAnsi="Times New Roman"/>
        </w:rPr>
        <w:t xml:space="preserve"> </w:t>
      </w:r>
    </w:p>
    <w:p w14:paraId="00581AE0" w14:textId="6EF53D3E" w:rsidR="00E7212E" w:rsidRPr="002A677E" w:rsidRDefault="00E7212E" w:rsidP="00E7212E">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t>204</w:t>
      </w:r>
      <w:r w:rsidRPr="005B57EC">
        <w:fldChar w:fldCharType="end"/>
      </w:r>
      <w:r>
        <w:t xml:space="preserve">.</w:t>
      </w:r>
      <w:r>
        <w:t xml:space="preserve"> </w:t>
      </w:r>
      <w:r>
        <w:t xml:space="preserve">Zahtjev za minimalno pokriće gubitka za neprihodonosne izloženosti primjenjuje se na i. izloženosti nastale 26. travnja 2019. ili nakon tog datuma koje su postale neprihodonosne i ii. izloženosti koje su nastale prije 26. travnja 2019. ako su nakon tog datuma izmijenjene tako da se poveća njihova vrijednost izloženosti prema dužniku (članak 469.a Uredbe (EU) br. 575/2013) koja postaje neprihodonosna.</w:t>
      </w:r>
      <w:r>
        <w:t xml:space="preserve"> </w:t>
      </w:r>
      <w:r>
        <w:t xml:space="preserve">U skladu s člankom 47.c stavkom 4.a Uredbe (EU) br. 575/2013 zahtjev za minimalno pokriće gubitka ne primjenjuje se na dio neprihodonosnih izloženosti za koje jamči ili koje osigurava službena agencija za kreditiranje izvoza.</w:t>
      </w:r>
    </w:p>
    <w:p w14:paraId="4F0BBD38" w14:textId="513B7167" w:rsidR="00E7212E" w:rsidRPr="002A677E" w:rsidRDefault="00E7212E" w:rsidP="00E7212E">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t>205</w:t>
      </w:r>
      <w:r w:rsidRPr="005B57EC">
        <w:fldChar w:fldCharType="end"/>
      </w:r>
      <w:r>
        <w:t xml:space="preserve">.</w:t>
      </w:r>
      <w:r>
        <w:t xml:space="preserve"> </w:t>
      </w:r>
      <w:r>
        <w:t xml:space="preserve">Institucije izračunavaju odbitke za neprihodonosne izloženosti u skladu s člankom 47.c stavkom 1. točkama (a) i (b) Uredbe (EU) br. 575/2013, uključujući izračun zahtjeva za minimalno pokriće i ukupnih rezerviranja i ispravaka ili odbitaka, na razini pojedinačne izloženosti („na osnovi transakcije”), a ne na razini dužnika ili portfelja.</w:t>
      </w:r>
    </w:p>
    <w:p w14:paraId="1066EFE1" w14:textId="77777777" w:rsidR="00E7212E" w:rsidRPr="002A677E" w:rsidRDefault="00E7212E" w:rsidP="00E7212E">
      <w:pPr>
        <w:pStyle w:val="InstructionsText2"/>
        <w:numPr>
          <w:ilvl w:val="0"/>
          <w:numId w:val="0"/>
        </w:numPr>
        <w:ind w:left="993"/>
        <w:rPr>
          <w:noProof/>
        </w:rPr>
      </w:pPr>
      <w:r w:rsidRPr="005B57EC">
        <w:fldChar w:fldCharType="begin" w:dirty="true"/>
      </w:r>
      <w:r w:rsidRPr="002A677E">
        <w:instrText xml:space="preserve"> seq paragraphs </w:instrText>
      </w:r>
      <w:r w:rsidRPr="005B57EC">
        <w:fldChar w:fldCharType="separate"/>
      </w:r>
      <w:r>
        <w:t>206</w:t>
      </w:r>
      <w:r w:rsidRPr="005B57EC">
        <w:fldChar w:fldCharType="end"/>
      </w:r>
      <w:r>
        <w:t xml:space="preserve">.</w:t>
      </w:r>
      <w:r>
        <w:t xml:space="preserve"> </w:t>
      </w:r>
      <w:r>
        <w:t xml:space="preserve">Za potrebe izračuna odbitaka za neprihodonosne izloženosti institucije razlikuju neosigurani i osigurani dio neprihodonosne izloženosti u skladu s člankom 47.c stavkom 1. Uredbe (EU) br. 575/2013.</w:t>
      </w:r>
      <w:r>
        <w:t xml:space="preserve"> </w:t>
      </w:r>
      <w:r>
        <w:t xml:space="preserve">Zbog toga institucije vrijednosti izloženosti i zahtjeve za minimalno pokriće iskazuju zasebno za neosigurani dio neprihodonosnih izloženosti i osigurani dio neprihodonosnih izloženosti.</w:t>
      </w:r>
    </w:p>
    <w:bookmarkStart w:id="2" w:name="_Toc522019774"/>
    <w:p w14:paraId="782A124B" w14:textId="2131E94E" w:rsidR="00C6168C" w:rsidRDefault="00E7212E" w:rsidP="002567E9">
      <w:pPr>
        <w:pStyle w:val="InstructionsText2"/>
        <w:numPr>
          <w:ilvl w:val="0"/>
          <w:numId w:val="0"/>
        </w:numPr>
        <w:ind w:left="993"/>
        <w:rPr>
          <w:noProof/>
        </w:rPr>
      </w:pPr>
      <w:r w:rsidRPr="005B57EC">
        <w:fldChar w:fldCharType="begin" w:dirty="true"/>
      </w:r>
      <w:r w:rsidRPr="002A677E">
        <w:instrText xml:space="preserve"> seq paragraphs </w:instrText>
      </w:r>
      <w:r w:rsidRPr="005B57EC">
        <w:fldChar w:fldCharType="separate"/>
      </w:r>
      <w:r>
        <w:t>207</w:t>
      </w:r>
      <w:r w:rsidRPr="005B57EC">
        <w:fldChar w:fldCharType="end"/>
      </w:r>
      <w:r>
        <w:t xml:space="preserve">.</w:t>
      </w:r>
      <w:r>
        <w:t xml:space="preserve"> </w:t>
      </w:r>
      <w:r>
        <w:t xml:space="preserve">Za potrebe raspoređivanja relevantnih primjenjivih faktora i izračun zahtjeva za minimalno pokriće institucije klasificiraju osigurani dio neprihodonosnih izloženosti ovisno o vrsti kreditne zaštite u skladu s člankom 47.c stavkom 3. Uredbe (EU) br. 575/2013 kako slijedi:</w:t>
      </w:r>
      <w:r>
        <w:t xml:space="preserve"> </w:t>
      </w:r>
      <w:r>
        <w:t xml:space="preserve">i. „osiguran nekretninama ili stambenim kreditom za koji jamči priznati pružatelj zaštite iz članka 201.”, ii. „osiguran drugom materijalnom ili nematerijalnom kreditnom zaštitom” ili iii. „za koji jamstvo ili kontrajamstvo pruža priznati pružatelj zaštite”.</w:t>
      </w:r>
      <w:r>
        <w:t xml:space="preserve"> </w:t>
      </w:r>
      <w:r>
        <w:t xml:space="preserve">Ako je neprihodonosna izloženost osigurana s više od jedne vrste kreditne zaštite, njezina vrijednost izloženosti raspoređuje se u skladu s kvalitetom kreditne zaštite, počevši od one najbolje kvalitete.</w:t>
      </w:r>
    </w:p>
    <w:p w14:paraId="2778C954" w14:textId="1C8C1115" w:rsidR="00C6168C" w:rsidRPr="00C6168C" w:rsidRDefault="00C6168C" w:rsidP="00C6168C">
      <w:pPr>
        <w:pStyle w:val="InstructionsText2"/>
        <w:numPr>
          <w:ilvl w:val="0"/>
          <w:numId w:val="0"/>
        </w:numPr>
        <w:ind w:left="993"/>
        <w:rPr>
          <w:noProof/>
        </w:rPr>
      </w:pPr>
      <w:r>
        <w:t xml:space="preserve">207.a.</w:t>
      </w:r>
      <w:r>
        <w:t xml:space="preserve">  </w:t>
      </w:r>
      <w:r>
        <w:t xml:space="preserve">U skladu s člankom 36. stavkom 5. Uredbe (EU) br. 575/2013 specijalizirana tijela za restrukturiranje duga iskazuju sve relevantne izloženosti, uključujući neprihodonosne izloženosti koje su te institucije otkupile, u obrascima od C35.01 do C35.03 i postavljaju primjenjivi iznos nedostatnog pokrića kupljenog dijela na nula u retku 0010 obrasca C35.01.</w:t>
      </w:r>
      <w:r>
        <w:t xml:space="preserve">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sz w:val="24"/>
          <w:u w:val="none"/>
          <w:rFonts w:ascii="Times New Roman" w:hAnsi="Times New Roman" w:cs="Times New Roman"/>
        </w:rPr>
      </w:pPr>
      <w:bookmarkStart w:id="3" w:name="_Toc19715888"/>
      <w:bookmarkStart w:id="4" w:name="_Toc151714528"/>
      <w:r>
        <w:rPr>
          <w:sz w:val="24"/>
          <w:u w:val="none"/>
          <w:rFonts w:ascii="Times New Roman" w:hAnsi="Times New Roman"/>
        </w:rPr>
        <w:t xml:space="preserve">8.2.</w:t>
      </w:r>
      <w:r>
        <w:rPr>
          <w:sz w:val="24"/>
          <w:u w:val="none"/>
          <w:rFonts w:ascii="Times New Roman" w:hAnsi="Times New Roman"/>
        </w:rPr>
        <w:t xml:space="preserve"> </w:t>
      </w:r>
      <w:r>
        <w:rPr>
          <w:sz w:val="24"/>
          <w:u w:val="none"/>
          <w:rFonts w:ascii="Times New Roman" w:hAnsi="Times New Roman"/>
        </w:rPr>
        <w:t xml:space="preserve">C 35.01 –</w:t>
      </w:r>
      <w:bookmarkEnd w:id="2"/>
      <w:r>
        <w:rPr>
          <w:sz w:val="24"/>
          <w:u w:val="none"/>
          <w:rFonts w:ascii="Times New Roman" w:hAnsi="Times New Roman"/>
        </w:rPr>
        <w:t xml:space="preserve"> IZRAČUN ODBITAKA ZA NEPRIHODONOSNE IZLOŽENOSTI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sz w:val="24"/>
          <w:rFonts w:ascii="Times New Roman" w:hAnsi="Times New Roman" w:cs="Times New Roman"/>
        </w:rPr>
      </w:pPr>
      <w:bookmarkStart w:id="5" w:name="_Toc151714529"/>
      <w:r>
        <w:rPr>
          <w:sz w:val="24"/>
          <w:rFonts w:ascii="Times New Roman" w:hAnsi="Times New Roman"/>
        </w:rPr>
        <w:t xml:space="preserve">Upute za specifične pozicije</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sz w:val="24"/>
                <w:rFonts w:ascii="Times New Roman" w:hAnsi="Times New Roman"/>
              </w:rPr>
            </w:pPr>
            <w:bookmarkStart w:id="6" w:name="_Toc19715889"/>
            <w:r>
              <w:rPr>
                <w:sz w:val="24"/>
                <w:rFonts w:ascii="Times New Roman" w:hAnsi="Times New Roman"/>
              </w:rPr>
              <w:t xml:space="preserve">Stupci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sz w:val="24"/>
                <w:rFonts w:ascii="Times New Roman" w:hAnsi="Times New Roman"/>
              </w:rPr>
            </w:pPr>
            <w:r>
              <w:rPr>
                <w:sz w:val="24"/>
                <w:rFonts w:ascii="Times New Roman" w:hAnsi="Times New Roman"/>
              </w:rPr>
              <w:t xml:space="preserve">Upute</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sz w:val="24"/>
                <w:rFonts w:ascii="Times New Roman" w:hAnsi="Times New Roman"/>
              </w:rPr>
            </w:pPr>
            <w:r>
              <w:rPr>
                <w:sz w:val="24"/>
                <w:rFonts w:ascii="Times New Roman" w:hAnsi="Times New Roman"/>
              </w:rPr>
              <w:t xml:space="preserve">0010-0100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Vrijeme proteklo od kada su izloženosti klasificirane kao neprihodonosne</w:t>
            </w:r>
          </w:p>
          <w:p w14:paraId="1BC0C5B7" w14:textId="77777777" w:rsidR="00E7212E" w:rsidRPr="002A677E" w:rsidRDefault="00E7212E" w:rsidP="00BF7D57">
            <w:pPr>
              <w:rPr>
                <w:sz w:val="24"/>
                <w:rFonts w:ascii="Times New Roman" w:hAnsi="Times New Roman"/>
              </w:rPr>
            </w:pPr>
            <w:r>
              <w:rPr>
                <w:sz w:val="24"/>
                <w:rFonts w:ascii="Times New Roman" w:hAnsi="Times New Roman"/>
              </w:rPr>
              <w:t xml:space="preserve">„Vrijeme proteklo od kada su izloženosti klasificirane kao neprihodonosne” znači vrijeme u godinama koje je proteklo, od referentnog datuma, od kada je izloženost klasificirana kao neprihodonosna.</w:t>
            </w:r>
            <w:r>
              <w:rPr>
                <w:sz w:val="24"/>
                <w:rFonts w:ascii="Times New Roman" w:hAnsi="Times New Roman"/>
              </w:rPr>
              <w:t xml:space="preserve"> </w:t>
            </w:r>
            <w:r>
              <w:rPr>
                <w:sz w:val="24"/>
                <w:rFonts w:ascii="Times New Roman" w:hAnsi="Times New Roman"/>
              </w:rPr>
              <w:t xml:space="preserve">Za otkupljene neprihodonosne izloženosti vrijeme u godinama počinje od datuma na koji su izloženosti izvorno klasificirane kao neprihodonosne, a ne od datuma njihove kupnje.</w:t>
            </w:r>
            <w:r>
              <w:rPr>
                <w:sz w:val="24"/>
                <w:rFonts w:ascii="Times New Roman" w:hAnsi="Times New Roman"/>
              </w:rPr>
              <w:t xml:space="preserve"> </w:t>
            </w:r>
          </w:p>
          <w:p w14:paraId="4D6DCF87" w14:textId="77777777" w:rsidR="00E7212E" w:rsidRPr="002A677E" w:rsidRDefault="00E7212E" w:rsidP="00BF7D57">
            <w:pPr>
              <w:rPr>
                <w:sz w:val="24"/>
                <w:rFonts w:ascii="Times New Roman" w:hAnsi="Times New Roman"/>
              </w:rPr>
            </w:pPr>
            <w:r>
              <w:rPr>
                <w:sz w:val="24"/>
                <w:rFonts w:ascii="Times New Roman" w:hAnsi="Times New Roman"/>
              </w:rPr>
              <w:t xml:space="preserve">Institucije iskazuju podatke o izloženostima kojima referentni datum pripada u odgovarajuće vremenski interval navodeći razdoblje u godinama nakon klasifikacije izloženosti kao neprihodonosnih, neovisno o primjeni mjera za restrukturiranje.</w:t>
            </w:r>
          </w:p>
          <w:p w14:paraId="08BF43EA" w14:textId="77777777" w:rsidR="00E7212E" w:rsidRPr="002A677E" w:rsidRDefault="00E7212E" w:rsidP="00BF7D57">
            <w:pPr>
              <w:rPr>
                <w:sz w:val="24"/>
                <w:rFonts w:ascii="Times New Roman" w:hAnsi="Times New Roman"/>
              </w:rPr>
            </w:pPr>
            <w:r>
              <w:rPr>
                <w:sz w:val="24"/>
                <w:rFonts w:ascii="Times New Roman" w:hAnsi="Times New Roman"/>
              </w:rPr>
              <w:t xml:space="preserve">Za vremenski interval „&gt; X godina/godine, &lt;= Y godina/godine”, institucije iskazuju podatke o izloženostima za koje referentni datum odgovara razdoblju između prvog i zadnjeg dana godine Y nakon klasifikacije tih izloženosti kao neprihodonosnih.</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 </w:t>
            </w:r>
            <w:r>
              <w:rPr>
                <w:sz w:val="24"/>
                <w:b/>
                <w:u w:val="single"/>
                <w:rFonts w:ascii="Times New Roman" w:hAnsi="Times New Roman"/>
              </w:rPr>
              <w:t xml:space="preserve">Ukupno</w:t>
            </w:r>
          </w:p>
          <w:p w14:paraId="785D55A5" w14:textId="77777777" w:rsidR="00E7212E" w:rsidRPr="002A677E" w:rsidRDefault="00E7212E" w:rsidP="00BF7D57">
            <w:pPr>
              <w:rPr>
                <w:sz w:val="24"/>
                <w:rFonts w:ascii="Times New Roman" w:hAnsi="Times New Roman"/>
              </w:rPr>
            </w:pPr>
            <w:r>
              <w:rPr>
                <w:sz w:val="24"/>
                <w:rFonts w:ascii="Times New Roman" w:hAnsi="Times New Roman"/>
              </w:rPr>
              <w:t xml:space="preserve">Institucije iskazuju zbroj svih stupaca od 0010 do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sz w:val="24"/>
                <w:rFonts w:ascii="Times New Roman" w:hAnsi="Times New Roman"/>
              </w:rPr>
            </w:pPr>
            <w:r>
              <w:rPr>
                <w:sz w:val="24"/>
                <w:rFonts w:ascii="Times New Roman" w:hAnsi="Times New Roman"/>
              </w:rPr>
              <w:t xml:space="preserve">Redci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sz w:val="24"/>
                <w:rFonts w:ascii="Times New Roman" w:hAnsi="Times New Roman"/>
              </w:rPr>
            </w:pPr>
            <w:r>
              <w:rPr>
                <w:sz w:val="24"/>
                <w:rFonts w:ascii="Times New Roman" w:hAnsi="Times New Roman"/>
              </w:rPr>
              <w:t xml:space="preserve">Upute</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Primjenjivi iznos nedostatnog pokrića</w:t>
            </w:r>
          </w:p>
          <w:p w14:paraId="07CA6C51"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Uredbe (EU) br. 575/2013</w:t>
            </w:r>
          </w:p>
          <w:p w14:paraId="7BAA1E96" w14:textId="77777777" w:rsidR="00E7212E" w:rsidRPr="002A677E" w:rsidRDefault="00E7212E" w:rsidP="00BF7D57">
            <w:pPr>
              <w:rPr>
                <w:sz w:val="24"/>
                <w:rFonts w:ascii="Times New Roman" w:hAnsi="Times New Roman"/>
              </w:rPr>
            </w:pPr>
            <w:r>
              <w:rPr>
                <w:sz w:val="24"/>
                <w:rFonts w:ascii="Times New Roman" w:hAnsi="Times New Roman"/>
              </w:rPr>
              <w:t xml:space="preserve">Za izračun primjenjivog iznosa nedostatnog pokrića institucije odbijaju ukupne rezervacije i usklađenja ili odbitke (ograničene) (redak 0080) od ukupnog zahtjeva za minimalno pokriće za neprihodonosne izloženosti (redak 0020).</w:t>
            </w:r>
          </w:p>
          <w:p w14:paraId="4864656A" w14:textId="5DE2BE38" w:rsidR="006124F8" w:rsidRPr="002A677E" w:rsidRDefault="00E7212E" w:rsidP="00BF7D57">
            <w:pPr>
              <w:rPr>
                <w:sz w:val="24"/>
                <w:rFonts w:ascii="Times New Roman" w:hAnsi="Times New Roman"/>
              </w:rPr>
            </w:pPr>
            <w:r>
              <w:rPr>
                <w:sz w:val="24"/>
                <w:rFonts w:ascii="Times New Roman" w:hAnsi="Times New Roman"/>
              </w:rPr>
              <w:t xml:space="preserve">Primjenjivi iznos nedostatnog pokrića (tj. manjak ukupnog zahtjeva za minimalno pokriće za neprihodonosne izloženosti) jednak je ili veći od nula.</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Ukupni zahtjevi za minimalno pokriće za neprihodonosne izloženosti</w:t>
            </w:r>
          </w:p>
          <w:p w14:paraId="649C7EAB"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w:t>
            </w:r>
            <w:r>
              <w:rPr>
                <w:sz w:val="24"/>
                <w:rFonts w:ascii="Times New Roman" w:hAnsi="Times New Roman"/>
              </w:rPr>
              <w:t xml:space="preserve"> Uredbe (EU) br. 575/2013</w:t>
            </w:r>
          </w:p>
          <w:p w14:paraId="62B457A3" w14:textId="77777777" w:rsidR="00E7212E" w:rsidRPr="002A677E" w:rsidRDefault="00E7212E" w:rsidP="00BF7D57">
            <w:pPr>
              <w:rPr>
                <w:sz w:val="24"/>
                <w:rFonts w:ascii="Times New Roman" w:hAnsi="Times New Roman"/>
              </w:rPr>
            </w:pPr>
            <w:r>
              <w:rPr>
                <w:sz w:val="24"/>
                <w:rFonts w:ascii="Times New Roman" w:hAnsi="Times New Roman"/>
              </w:rPr>
              <w:t xml:space="preserve">Za izračun ukupnih zahtjeva za minimalno pokriće za neprihodonosne izloženosti institucije zbrajaju zahtjeve za minimalno pokriće za neosigurani dio neprihodonosnih izloženosti (redak 0030) i za osigurani dio neprihodonosnih izloženosti (redak 0040).</w:t>
            </w:r>
            <w:r>
              <w:rPr>
                <w:sz w:val="24"/>
                <w:rFonts w:ascii="Times New Roman" w:hAnsi="Times New Roman"/>
              </w:rPr>
              <w:t xml:space="preserve">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sz w:val="24"/>
                <w:rFonts w:ascii="Times New Roman" w:hAnsi="Times New Roman"/>
              </w:rPr>
            </w:pPr>
            <w:r>
              <w:rPr>
                <w:sz w:val="24"/>
                <w:b/>
                <w:u w:val="single"/>
                <w:rFonts w:ascii="Times New Roman" w:hAnsi="Times New Roman"/>
              </w:rPr>
              <w:t xml:space="preserve">Neosigurani dio neprihodonosnih izloženosti</w:t>
            </w:r>
            <w:r>
              <w:rPr>
                <w:sz w:val="24"/>
                <w:rFonts w:ascii="Times New Roman" w:hAnsi="Times New Roman"/>
              </w:rPr>
              <w:t xml:space="preserve"> </w:t>
            </w:r>
          </w:p>
          <w:p w14:paraId="73825922"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 podtočka i. i članak 47.c stavci 2. i 6. Uredbe (EU) br. 575/2013</w:t>
            </w:r>
          </w:p>
          <w:p w14:paraId="6AA26A2E" w14:textId="77777777" w:rsidR="00E7212E" w:rsidRPr="002A677E" w:rsidRDefault="00E7212E" w:rsidP="00BF7D57">
            <w:pPr>
              <w:rPr>
                <w:sz w:val="24"/>
                <w:rFonts w:ascii="Times New Roman" w:hAnsi="Times New Roman"/>
              </w:rPr>
            </w:pPr>
            <w:r>
              <w:rPr>
                <w:sz w:val="24"/>
                <w:rFonts w:ascii="Times New Roman" w:hAnsi="Times New Roman"/>
              </w:rPr>
              <w:t xml:space="preserve">Institucije iskazuju ukupne zahtjeve za minimalno pokriće za neosigurani dio neprihodonosnih izloženosti tj. ukupne izračune na razini izloženosti.</w:t>
            </w:r>
            <w:r>
              <w:rPr>
                <w:sz w:val="24"/>
                <w:rFonts w:ascii="Times New Roman" w:hAnsi="Times New Roman"/>
              </w:rPr>
              <w:t xml:space="preserve"> </w:t>
            </w:r>
          </w:p>
          <w:p w14:paraId="73D05839" w14:textId="77777777" w:rsidR="00E7212E" w:rsidRPr="002A677E" w:rsidRDefault="00E7212E" w:rsidP="00BF7D57">
            <w:pPr>
              <w:rPr>
                <w:sz w:val="24"/>
                <w:rFonts w:ascii="Times New Roman" w:hAnsi="Times New Roman"/>
              </w:rPr>
            </w:pPr>
            <w:r>
              <w:rPr>
                <w:sz w:val="24"/>
                <w:rFonts w:ascii="Times New Roman" w:hAnsi="Times New Roman"/>
              </w:rPr>
              <w:t xml:space="preserve">Iznos iskazan u svakom stupcu jednak je zbroju iznosa iskazanih u stupcu 0020 obrasca C 35.02 i stupcu 0020 obrasca C 35.03 (prema potrebi) u odgovarajućim stupcima.</w:t>
            </w:r>
            <w:r>
              <w:rPr>
                <w:sz w:val="24"/>
                <w:rFonts w:ascii="Times New Roman" w:hAnsi="Times New Roman"/>
              </w:rPr>
              <w:t xml:space="preserve">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Osigurani dio neprihodonosnih izloženosti</w:t>
            </w:r>
          </w:p>
          <w:p w14:paraId="12886933"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 podtočka ii. i članak 47.c stavci 4. i 6. Uredbe (EU) br. 575/2013</w:t>
            </w:r>
          </w:p>
          <w:p w14:paraId="16387A62" w14:textId="77777777" w:rsidR="00E7212E" w:rsidRPr="002A677E" w:rsidRDefault="00E7212E" w:rsidP="00BF7D57">
            <w:pPr>
              <w:rPr>
                <w:sz w:val="24"/>
                <w:rFonts w:ascii="Times New Roman" w:hAnsi="Times New Roman"/>
              </w:rPr>
            </w:pPr>
            <w:r>
              <w:rPr>
                <w:sz w:val="24"/>
                <w:rFonts w:ascii="Times New Roman" w:hAnsi="Times New Roman"/>
              </w:rPr>
              <w:t xml:space="preserve">Institucije iskazuju ukupne zahtjeve za minimalno pokriće za osigurani dio neprihodonosnih izloženosti tj. ukupne izračune na razini izloženosti.</w:t>
            </w:r>
          </w:p>
          <w:p w14:paraId="0FBBC591" w14:textId="5F5FD107" w:rsidR="00E7212E" w:rsidRPr="002A677E" w:rsidRDefault="00E7212E" w:rsidP="00BF7D57">
            <w:pPr>
              <w:rPr>
                <w:b/>
                <w:sz w:val="24"/>
                <w:u w:val="single"/>
                <w:rFonts w:ascii="Times New Roman" w:hAnsi="Times New Roman"/>
              </w:rPr>
            </w:pPr>
            <w:r>
              <w:rPr>
                <w:sz w:val="24"/>
                <w:rFonts w:ascii="Times New Roman" w:hAnsi="Times New Roman"/>
              </w:rPr>
              <w:t xml:space="preserve">Iznos iskazan u svakom stupcu jednak je zbroju iznosa iskazanih u redcima 0030-0045 obrasca C 35.02 i redcima 0030-0040 obrasca C 35.03 (prema potrebi) u odgovarajućim stupcima.</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Vrijednost izloženosti</w:t>
            </w:r>
          </w:p>
          <w:p w14:paraId="3D274535" w14:textId="77777777" w:rsidR="00E7212E" w:rsidRPr="002A677E" w:rsidRDefault="00E7212E" w:rsidP="00BF7D57">
            <w:pPr>
              <w:rPr>
                <w:sz w:val="24"/>
                <w:rFonts w:ascii="Times New Roman" w:hAnsi="Times New Roman"/>
              </w:rPr>
            </w:pPr>
            <w:r>
              <w:rPr>
                <w:sz w:val="24"/>
                <w:rFonts w:ascii="Times New Roman" w:hAnsi="Times New Roman"/>
              </w:rPr>
              <w:t xml:space="preserve">Članak 47.a stavak 2. Uredbe (EU) br. 575/2013</w:t>
            </w:r>
          </w:p>
          <w:p w14:paraId="2696C7F0" w14:textId="77777777" w:rsidR="00E7212E" w:rsidRPr="002A677E" w:rsidRDefault="00E7212E" w:rsidP="00BF7D57">
            <w:pPr>
              <w:rPr>
                <w:sz w:val="24"/>
                <w:rFonts w:ascii="Times New Roman" w:hAnsi="Times New Roman"/>
              </w:rPr>
            </w:pPr>
            <w:r>
              <w:rPr>
                <w:sz w:val="24"/>
                <w:rFonts w:ascii="Times New Roman" w:hAnsi="Times New Roman"/>
              </w:rPr>
              <w:t xml:space="preserve">Institucije iskazuju ukupnu vrijednost izloženosti neprihodonosnih izloženosti uključujući neosigurane i osigurane izloženosti.</w:t>
            </w:r>
            <w:r>
              <w:rPr>
                <w:sz w:val="24"/>
                <w:rFonts w:ascii="Times New Roman" w:hAnsi="Times New Roman"/>
              </w:rPr>
              <w:t xml:space="preserve"> </w:t>
            </w:r>
            <w:r>
              <w:rPr>
                <w:sz w:val="24"/>
                <w:rFonts w:ascii="Times New Roman" w:hAnsi="Times New Roman"/>
              </w:rPr>
              <w:t xml:space="preserve">To odgovara zbroju retka 0060 i retka 0070.</w:t>
            </w:r>
            <w:r>
              <w:rPr>
                <w:sz w:val="24"/>
                <w:rFonts w:ascii="Times New Roman" w:hAnsi="Times New Roman"/>
              </w:rPr>
              <w:t xml:space="preserve">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sz w:val="24"/>
                <w:rFonts w:ascii="Times New Roman" w:hAnsi="Times New Roman"/>
              </w:rPr>
            </w:pPr>
            <w:r>
              <w:rPr>
                <w:sz w:val="24"/>
                <w:b/>
                <w:u w:val="single"/>
                <w:rFonts w:ascii="Times New Roman" w:hAnsi="Times New Roman"/>
              </w:rPr>
              <w:t xml:space="preserve">Neosigurani dio neprihodonosnih izloženosti</w:t>
            </w:r>
            <w:r>
              <w:rPr>
                <w:sz w:val="24"/>
                <w:rFonts w:ascii="Times New Roman" w:hAnsi="Times New Roman"/>
              </w:rPr>
              <w:t xml:space="preserve"> </w:t>
            </w:r>
          </w:p>
          <w:p w14:paraId="2C09637F" w14:textId="77777777" w:rsidR="00E7212E" w:rsidRPr="002A677E" w:rsidRDefault="00E7212E" w:rsidP="00BF7D57">
            <w:pPr>
              <w:rPr>
                <w:sz w:val="24"/>
                <w:rFonts w:ascii="Times New Roman" w:hAnsi="Times New Roman"/>
              </w:rPr>
            </w:pPr>
            <w:r>
              <w:rPr>
                <w:sz w:val="24"/>
                <w:rFonts w:ascii="Times New Roman" w:hAnsi="Times New Roman"/>
              </w:rPr>
              <w:t xml:space="preserve">Članak 47.a stavak 2 i članak 47.c stavak 1. Uredbe (EU) br.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Osigurani dio neprihodonosnih izloženosti</w:t>
            </w:r>
          </w:p>
          <w:p w14:paraId="457D8F3B"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Članak 47.a stavak 2 i članak 47.c stavak 1. Uredbe (EU) br.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Ukupne rezervacije i usklađenja ili odbici (ograničeni)</w:t>
            </w:r>
          </w:p>
          <w:p w14:paraId="1063BD06" w14:textId="77777777" w:rsidR="00E7212E" w:rsidRPr="002A677E" w:rsidRDefault="00E7212E" w:rsidP="00BF7D57">
            <w:pPr>
              <w:rPr>
                <w:sz w:val="24"/>
                <w:rFonts w:ascii="Times New Roman" w:hAnsi="Times New Roman"/>
              </w:rPr>
            </w:pPr>
            <w:r>
              <w:rPr>
                <w:sz w:val="24"/>
                <w:rFonts w:ascii="Times New Roman" w:hAnsi="Times New Roman"/>
              </w:rPr>
              <w:t xml:space="preserve">Institucije iskazuju ograničeni iznos zbroja stavki navedenih u redcima 0100-0150 u skladu s člankom 47.c stavkom 1. točkom (b) Uredbe (EU) br. 575/2013.</w:t>
            </w:r>
            <w:r>
              <w:rPr>
                <w:sz w:val="24"/>
                <w:rFonts w:ascii="Times New Roman" w:hAnsi="Times New Roman"/>
              </w:rPr>
              <w:t xml:space="preserve"> </w:t>
            </w:r>
            <w:r>
              <w:rPr>
                <w:sz w:val="24"/>
                <w:rFonts w:ascii="Times New Roman" w:hAnsi="Times New Roman"/>
              </w:rPr>
              <w:t xml:space="preserve">Gornja granica ograničenih rezervacija i usklađenja ili odbitaka iznos je zahtjeva za minimalno pokriće na razini izloženosti.</w:t>
            </w:r>
          </w:p>
          <w:p w14:paraId="5D5758AF" w14:textId="77777777" w:rsidR="00E7212E" w:rsidRPr="002A677E" w:rsidRDefault="00E7212E" w:rsidP="00BF7D57">
            <w:pPr>
              <w:rPr>
                <w:sz w:val="24"/>
                <w:rFonts w:ascii="Times New Roman" w:hAnsi="Times New Roman"/>
              </w:rPr>
            </w:pPr>
            <w:r>
              <w:rPr>
                <w:sz w:val="24"/>
                <w:rFonts w:ascii="Times New Roman" w:hAnsi="Times New Roman"/>
              </w:rPr>
              <w:t xml:space="preserve">Ograničeni iznos izračunava se zasebno za svaku izloženost kao niži iznos od zahtjeva za minimalno pokriće za tu izloženost i ukupnih rezervacija i usklađenja ili odbitaka za istu izloženost.</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Ukupne rezervacije i usklađenja ili odbici (neograničeni)</w:t>
            </w:r>
          </w:p>
          <w:p w14:paraId="761D8835" w14:textId="77777777" w:rsidR="00E7212E" w:rsidRPr="002A677E" w:rsidRDefault="00E7212E" w:rsidP="00BF7D57">
            <w:pPr>
              <w:jc w:val="left"/>
              <w:rPr>
                <w:sz w:val="24"/>
                <w:rFonts w:ascii="Times New Roman" w:hAnsi="Times New Roman"/>
              </w:rPr>
            </w:pPr>
            <w:r>
              <w:rPr>
                <w:sz w:val="24"/>
                <w:rFonts w:ascii="Times New Roman" w:hAnsi="Times New Roman"/>
              </w:rPr>
              <w:t xml:space="preserve">Institucije iskazuju zbroj ograničenog iznosa stavki navedenih u redcima 0100-0150 u skladu s člankom 47.c stavkom 1. točkom (b) Uredbe (EU) br. 575/2013.</w:t>
            </w:r>
            <w:r>
              <w:rPr>
                <w:sz w:val="24"/>
                <w:rFonts w:ascii="Times New Roman" w:hAnsi="Times New Roman"/>
              </w:rPr>
              <w:t xml:space="preserve"> </w:t>
            </w:r>
            <w:r>
              <w:rPr>
                <w:sz w:val="24"/>
                <w:rFonts w:ascii="Times New Roman" w:hAnsi="Times New Roman"/>
              </w:rPr>
              <w:t xml:space="preserve">Rezervacije i usklađenja ili odbici (neograničeni) nisu ograničeni na iznos zahtjeva za minimalno pokriće na razini izloženosti.</w:t>
            </w:r>
            <w:r>
              <w:rPr>
                <w:sz w:val="24"/>
                <w:rFonts w:ascii="Times New Roman" w:hAnsi="Times New Roman"/>
              </w:rPr>
              <w:t xml:space="preserve">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Specifični ispravci vrijednosti za kreditni rizik</w:t>
            </w:r>
          </w:p>
          <w:p w14:paraId="7E86A5D7" w14:textId="77777777" w:rsidR="00E7212E" w:rsidRPr="002A677E" w:rsidRDefault="00E7212E" w:rsidP="00BF7D57">
            <w:pPr>
              <w:jc w:val="left"/>
              <w:rPr>
                <w:sz w:val="24"/>
                <w:rFonts w:ascii="Times New Roman" w:hAnsi="Times New Roman"/>
              </w:rPr>
            </w:pPr>
            <w:r>
              <w:rPr>
                <w:sz w:val="24"/>
                <w:rFonts w:ascii="Times New Roman" w:hAnsi="Times New Roman"/>
              </w:rPr>
              <w:t xml:space="preserve">Članak 47.c stavak 1. točka (b) podtočka i. Uredbe (EU) br.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Dodatne prilagodbe vrednovanja</w:t>
            </w:r>
          </w:p>
          <w:p w14:paraId="2B50ADEC"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Članak 47.c stavak 1. točka (b) podtočka ii. Uredbe (EU) br.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sz w:val="24"/>
                <w:rFonts w:ascii="Times New Roman" w:hAnsi="Times New Roman"/>
              </w:rPr>
            </w:pPr>
            <w:r>
              <w:rPr>
                <w:sz w:val="24"/>
                <w:rFonts w:ascii="Times New Roman" w:hAnsi="Times New Roman"/>
              </w:rPr>
              <w:t xml:space="preserve">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Ostala smanjenja regulatornoga kapitala</w:t>
            </w:r>
          </w:p>
          <w:p w14:paraId="0DCF7C5B"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Članak 47.c stavak 1. točka (b) podtočka iii. Uredbe (EU) br.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sz w:val="24"/>
                <w:rFonts w:ascii="Times New Roman" w:hAnsi="Times New Roman"/>
              </w:rPr>
            </w:pPr>
            <w:r>
              <w:rPr>
                <w:sz w:val="24"/>
                <w:rFonts w:ascii="Times New Roman" w:hAnsi="Times New Roman"/>
              </w:rPr>
              <w:t xml:space="preserve">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IRB odbitak</w:t>
            </w:r>
          </w:p>
          <w:p w14:paraId="40095D1B"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Članak 47.c stavak 1. točka (b) podtočka iv. Uredbe (EU) br.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sz w:val="24"/>
                <w:rFonts w:ascii="Times New Roman" w:hAnsi="Times New Roman"/>
              </w:rPr>
            </w:pPr>
            <w:r>
              <w:rPr>
                <w:sz w:val="24"/>
                <w:rFonts w:ascii="Times New Roman" w:hAnsi="Times New Roman"/>
              </w:rPr>
              <w:t xml:space="preserve">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Razlika između otkupne cijene i iznosa koji dužnik duguje</w:t>
            </w:r>
          </w:p>
          <w:p w14:paraId="27E5AAB5"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Članak 47.c stavak 1. točka (b) podtočka v. Uredbe (EU) br.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sz w:val="24"/>
                <w:rFonts w:ascii="Times New Roman" w:hAnsi="Times New Roman"/>
              </w:rPr>
            </w:pPr>
            <w:r>
              <w:rPr>
                <w:sz w:val="24"/>
                <w:rFonts w:ascii="Times New Roman" w:hAnsi="Times New Roman"/>
              </w:rPr>
              <w:t xml:space="preserve">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Iznosi koje je institucija otpisala od kada je izloženosti klasificirana kao neprihodonosna</w:t>
            </w:r>
          </w:p>
          <w:p w14:paraId="0A7CF4DF"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Članak 47.c stavak 1. točka (b) podtočka vi. Uredbe (EU) br.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sz w:val="24"/>
          <w:rFonts w:ascii="Times New Roman" w:hAnsi="Times New Roman" w:cs="Times New Roman"/>
        </w:rPr>
      </w:pPr>
      <w:bookmarkStart w:id="7" w:name="_Toc19715890"/>
      <w:bookmarkStart w:id="8" w:name="_Toc151714530"/>
      <w:r>
        <w:rPr>
          <w:sz w:val="24"/>
          <w:rFonts w:ascii="Times New Roman" w:hAnsi="Times New Roman"/>
        </w:rPr>
        <w:t xml:space="preserve">C 35.02 – ZAHTJEVI ZA MINIMALNO POKRIĆE I VRIJEDNOSTI IZLOŽENOSTI NEPRIHODONOSNIH IZLOŽENOSTI NE UKLJUČUJUĆI RESTRUKTURIRANE IZLOŽENOSTI IZ ČLANKA 47.C STAVKA 6. UREDBE (EU) BR. 575/2013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sz w:val="24"/>
          <w:rFonts w:ascii="Times New Roman" w:hAnsi="Times New Roman" w:cs="Times New Roman"/>
        </w:rPr>
      </w:pPr>
      <w:bookmarkStart w:id="10" w:name="_Toc19715892"/>
      <w:bookmarkStart w:id="11" w:name="_Toc151714531"/>
      <w:r>
        <w:rPr>
          <w:sz w:val="24"/>
          <w:rFonts w:ascii="Times New Roman" w:hAnsi="Times New Roman"/>
        </w:rPr>
        <w:t xml:space="preserve">Upute za specifične pozicije</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sz w:val="24"/>
                <w:rFonts w:ascii="Times New Roman" w:hAnsi="Times New Roman"/>
              </w:rPr>
            </w:pPr>
            <w:r>
              <w:rPr>
                <w:sz w:val="24"/>
                <w:rFonts w:ascii="Times New Roman" w:hAnsi="Times New Roman"/>
              </w:rPr>
              <w:t xml:space="preserve">Stupci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sz w:val="24"/>
                <w:rFonts w:ascii="Times New Roman" w:hAnsi="Times New Roman"/>
              </w:rPr>
            </w:pPr>
            <w:r>
              <w:rPr>
                <w:sz w:val="24"/>
                <w:rFonts w:ascii="Times New Roman" w:hAnsi="Times New Roman"/>
              </w:rPr>
              <w:t xml:space="preserve">Upute</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sz w:val="24"/>
                <w:rFonts w:ascii="Times New Roman" w:hAnsi="Times New Roman"/>
              </w:rPr>
            </w:pPr>
            <w:r>
              <w:rPr>
                <w:sz w:val="24"/>
                <w:rFonts w:ascii="Times New Roman" w:hAnsi="Times New Roman"/>
              </w:rPr>
              <w:t xml:space="preserve">0010-0100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Vrijeme proteklo od kada su izloženosti klasificirane kao neprihodonosne</w:t>
            </w:r>
          </w:p>
          <w:p w14:paraId="27559F86" w14:textId="77777777" w:rsidR="00E7212E" w:rsidRPr="002A677E" w:rsidRDefault="00E7212E" w:rsidP="00BF7D57">
            <w:pPr>
              <w:rPr>
                <w:sz w:val="24"/>
                <w:rFonts w:ascii="Times New Roman" w:hAnsi="Times New Roman"/>
              </w:rPr>
            </w:pPr>
            <w:r>
              <w:rPr>
                <w:sz w:val="24"/>
                <w:rFonts w:ascii="Times New Roman" w:hAnsi="Times New Roman"/>
              </w:rPr>
              <w:t xml:space="preserve">„Vrijeme proteklo od kada su izloženosti klasificirane kao neprihodonosne” znači vrijeme u godinama koje je proteklo od kada je izloženost klasificirana kao neprihodonosna.</w:t>
            </w:r>
            <w:r>
              <w:rPr>
                <w:sz w:val="24"/>
                <w:rFonts w:ascii="Times New Roman" w:hAnsi="Times New Roman"/>
              </w:rPr>
              <w:t xml:space="preserve"> </w:t>
            </w:r>
            <w:r>
              <w:rPr>
                <w:sz w:val="24"/>
                <w:rFonts w:ascii="Times New Roman" w:hAnsi="Times New Roman"/>
              </w:rPr>
              <w:t xml:space="preserve">Institucije iskazuju podatke o izloženostima kojima referentni datum pripada u odgovarajuće vremenski interval navodeći razdoblje u godinama nakon klasifikacije izloženosti kao neprihodonosnih, neovisno o primjeni mjera za restrukturiranje.</w:t>
            </w:r>
          </w:p>
          <w:p w14:paraId="1AD59E7D" w14:textId="77777777" w:rsidR="00E7212E" w:rsidRPr="002A677E" w:rsidRDefault="00E7212E" w:rsidP="00BF7D57">
            <w:pPr>
              <w:rPr>
                <w:sz w:val="24"/>
                <w:rFonts w:ascii="Times New Roman" w:hAnsi="Times New Roman"/>
              </w:rPr>
            </w:pPr>
            <w:r>
              <w:rPr>
                <w:sz w:val="24"/>
                <w:rFonts w:ascii="Times New Roman" w:hAnsi="Times New Roman"/>
              </w:rPr>
              <w:t xml:space="preserve">Za vremenski interval „&gt; X godina/godine, &lt;= Y godina/godine”, institucije iskazuju podatke o izloženostima za koje referentni datum odgovara razdoblju između prvog i zadnjeg dana godine Y nakon klasifikacije tih izloženosti kao neprihodonosnih.</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Ukupno</w:t>
            </w:r>
          </w:p>
          <w:p w14:paraId="5AC10F8E" w14:textId="77777777" w:rsidR="00E7212E" w:rsidRPr="002A677E" w:rsidRDefault="00E7212E" w:rsidP="00BF7D57">
            <w:pPr>
              <w:rPr>
                <w:sz w:val="24"/>
                <w:u w:val="single"/>
                <w:rFonts w:ascii="Times New Roman" w:hAnsi="Times New Roman"/>
              </w:rPr>
            </w:pPr>
            <w:r>
              <w:rPr>
                <w:sz w:val="24"/>
                <w:rFonts w:ascii="Times New Roman" w:hAnsi="Times New Roman"/>
              </w:rPr>
              <w:t xml:space="preserve">Institucije iskazuju zbroj svih stupaca od 0010 do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sz w:val="24"/>
                <w:rFonts w:ascii="Times New Roman" w:hAnsi="Times New Roman"/>
              </w:rPr>
            </w:pPr>
            <w:r>
              <w:rPr>
                <w:sz w:val="24"/>
                <w:rFonts w:ascii="Times New Roman" w:hAnsi="Times New Roman"/>
              </w:rPr>
              <w:t xml:space="preserve">Redci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sz w:val="24"/>
                <w:rFonts w:ascii="Times New Roman" w:hAnsi="Times New Roman"/>
              </w:rPr>
            </w:pPr>
            <w:r>
              <w:rPr>
                <w:sz w:val="24"/>
                <w:rFonts w:ascii="Times New Roman" w:hAnsi="Times New Roman"/>
              </w:rPr>
              <w:t xml:space="preserve">Upute</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Ukupni zahtjevi za minimalno pokriće</w:t>
            </w:r>
          </w:p>
          <w:p w14:paraId="182F35CE"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 Uredbe (EU) br. 575/2013</w:t>
            </w:r>
          </w:p>
          <w:p w14:paraId="662FCE5D" w14:textId="79E2CFC8" w:rsidR="00E7212E" w:rsidRPr="002A677E" w:rsidRDefault="00E7212E" w:rsidP="00BF7D57">
            <w:pPr>
              <w:rPr>
                <w:sz w:val="24"/>
                <w:rFonts w:ascii="Times New Roman" w:hAnsi="Times New Roman"/>
              </w:rPr>
            </w:pPr>
            <w:r>
              <w:rPr>
                <w:sz w:val="24"/>
                <w:rFonts w:ascii="Times New Roman" w:hAnsi="Times New Roman"/>
              </w:rPr>
              <w:t xml:space="preserve">Za izračun ukupnih zahtjeva za minimalno pokriće za neprihodonosne izloženosti, ne uključujući restrukturirane izloženosti iz članka 47.c stavka 6. Uredbe (EU) br. 575/2013, institucije zbrajaju zahtjev za minimalno pokriće za neosigurani dio neprihodonosnih izloženosti (redak 0020) i zahtjev za minimalno pokriće za osigurani dio neprihodonosnih izloženosti (redci 0030-0045).</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Neosigurani dio neprihodonosnih izloženosti</w:t>
            </w:r>
          </w:p>
          <w:p w14:paraId="27ED7CA9"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 podtočka i. i članak 47.c stavak 2. Uredbe (EU) br. 575/2013</w:t>
            </w:r>
          </w:p>
          <w:p w14:paraId="5CD4163E" w14:textId="77777777" w:rsidR="00E7212E" w:rsidRPr="002A677E" w:rsidRDefault="00E7212E" w:rsidP="00BF7D57">
            <w:pPr>
              <w:rPr>
                <w:sz w:val="24"/>
                <w:rFonts w:ascii="Times New Roman" w:hAnsi="Times New Roman"/>
              </w:rPr>
            </w:pPr>
            <w:r>
              <w:rPr>
                <w:sz w:val="24"/>
                <w:rFonts w:ascii="Times New Roman" w:hAnsi="Times New Roman"/>
              </w:rPr>
              <w:t xml:space="preserve">Zahtjev za minimalno pokriće izračunava se množenjem ukupne vrijednosti izloženosti u retku 0070 odgovarajućim faktorom po stupcu.</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Dio neprihodonosnih izloženosti osiguran nekretninama ili stambenim kreditom za koji jamči priznati pružatelj zaštite</w:t>
            </w:r>
            <w:r>
              <w:rPr>
                <w:b/>
                <w:sz w:val="24"/>
                <w:u w:val="single"/>
                <w:rFonts w:ascii="Times New Roman" w:hAnsi="Times New Roman"/>
              </w:rPr>
              <w:t xml:space="preserve"> </w:t>
            </w:r>
          </w:p>
          <w:p w14:paraId="1AB54B5D"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 podtočka ii. i članak 47.c stavak 3. točke (a), (b), (c), (d), (f), (h) i (i) Uredbe (EU) br. 575/2013</w:t>
            </w:r>
          </w:p>
          <w:p w14:paraId="3818F43F"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Zahtjev za minimalno pokriće izračunava se množenjem ukupne vrijednosti izloženosti u retku 0080 odgovarajućim faktorom po stupcu.</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Dio neprihodonosnih izloženosti osiguran drugom materijalnom ili nematerijalnom kreditnom zaštitom</w:t>
            </w:r>
          </w:p>
          <w:p w14:paraId="5857E4F4"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 podtočka ii. i članak 47.c stavak 3. točke (a), (b), (c), (e) i (g) Uredbe (EU) br. 575/2013</w:t>
            </w:r>
          </w:p>
          <w:p w14:paraId="3EF75A94"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Zahtjev za minimalno pokriće izračunava se množenjem ukupne vrijednosti izloženosti u retku 0090 odgovarajućim faktorom po stupcu.</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sz w:val="24"/>
                <w:rFonts w:ascii="Times New Roman" w:hAnsi="Times New Roman"/>
              </w:rPr>
            </w:pPr>
            <w:r>
              <w:rPr>
                <w:sz w:val="24"/>
                <w:rFonts w:ascii="Times New Roman" w:hAnsi="Times New Roman"/>
              </w:rPr>
              <w:t xml:space="preserve">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b/>
                <w:sz w:val="24"/>
                <w:u w:val="single"/>
                <w:rFonts w:ascii="Times New Roman" w:hAnsi="Times New Roman"/>
              </w:rPr>
            </w:pPr>
            <w:r>
              <w:rPr>
                <w:b/>
                <w:sz w:val="24"/>
                <w:u w:val="single"/>
                <w:rFonts w:ascii="Times New Roman" w:hAnsi="Times New Roman"/>
              </w:rPr>
              <w:t xml:space="preserve">Dio neprihodonosnih izloženosti za koji jamstvo ili kontrajamstvo pruža priznati pružatelj zaštite</w:t>
            </w:r>
          </w:p>
          <w:p w14:paraId="4C97CF34" w14:textId="77777777" w:rsidR="00920721" w:rsidRDefault="00EB1058" w:rsidP="00BF7D57">
            <w:pPr>
              <w:jc w:val="left"/>
              <w:rPr>
                <w:sz w:val="24"/>
                <w:rFonts w:ascii="Times New Roman" w:hAnsi="Times New Roman"/>
              </w:rPr>
            </w:pPr>
            <w:r>
              <w:rPr>
                <w:sz w:val="24"/>
                <w:rFonts w:ascii="Times New Roman" w:hAnsi="Times New Roman"/>
              </w:rPr>
              <w:t xml:space="preserve">Članak 47.c stavak 4. točka (b) Uredbe (EU) br. 575/2013.</w:t>
            </w:r>
          </w:p>
          <w:p w14:paraId="450588A8" w14:textId="2E5C57D7" w:rsidR="009A1028" w:rsidRPr="009A1028" w:rsidRDefault="009A1028" w:rsidP="00BF7D57">
            <w:pPr>
              <w:jc w:val="left"/>
              <w:rPr>
                <w:sz w:val="24"/>
                <w:rFonts w:ascii="Times New Roman" w:hAnsi="Times New Roman"/>
              </w:rPr>
            </w:pPr>
            <w:r>
              <w:rPr>
                <w:rStyle w:val="cf01"/>
                <w:sz w:val="24"/>
                <w:rFonts w:ascii="Times New Roman" w:hAnsi="Times New Roman"/>
              </w:rPr>
              <w:t xml:space="preserve">Zahtjev za minimalno pokriće izračunava se množenjem ukupne vrijednosti izloženosti u redcima 0110 i 0120 odgovarajućim faktorima po stupcu.</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Vrijednost izloženosti</w:t>
            </w:r>
          </w:p>
          <w:p w14:paraId="2F7544E3" w14:textId="77777777" w:rsidR="00E7212E" w:rsidRPr="002A677E" w:rsidRDefault="00E7212E" w:rsidP="00BF7D57">
            <w:pPr>
              <w:jc w:val="left"/>
              <w:rPr>
                <w:sz w:val="24"/>
                <w:rFonts w:ascii="Times New Roman" w:hAnsi="Times New Roman"/>
              </w:rPr>
            </w:pPr>
            <w:r>
              <w:rPr>
                <w:sz w:val="24"/>
                <w:rFonts w:ascii="Times New Roman" w:hAnsi="Times New Roman"/>
              </w:rPr>
              <w:t xml:space="preserve">Članak 47.a stavak 2. Uredbe (EU) br. 575/2013</w:t>
            </w:r>
          </w:p>
          <w:p w14:paraId="40E077A1" w14:textId="04FB6552" w:rsidR="00E7212E" w:rsidRPr="002A677E" w:rsidRDefault="00E7212E" w:rsidP="00BF7D57">
            <w:pPr>
              <w:jc w:val="left"/>
              <w:rPr>
                <w:b/>
                <w:sz w:val="24"/>
                <w:u w:val="single"/>
                <w:rFonts w:ascii="Times New Roman" w:hAnsi="Times New Roman"/>
              </w:rPr>
            </w:pPr>
            <w:r>
              <w:rPr>
                <w:sz w:val="24"/>
                <w:rFonts w:ascii="Times New Roman" w:hAnsi="Times New Roman"/>
              </w:rPr>
              <w:t xml:space="preserve">Za izračun retka 0060 institucije zbrajaju vrijednosti izloženosti iskazane za neosigurani dio neprihodonosnih izloženosti (redak 0070), dio neprihodonosnih izloženosti osiguran nekretninama ili stambenim kreditom za koji jamči priznati pružatelj zaštite (redak 0080), dio neprihodonosnih izloženosti osiguran drugom materijalnom ili nematerijalnom kreditnom zaštitom (redak 0090) i dio neprihodonosnih izloženosti za koji jamstvo ili kontrajamstvo pruža priznati pružatelj zaštite (redci 0110 i 0120).</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Neosigurani dio neprihodonosnih izloženosti</w:t>
            </w:r>
          </w:p>
          <w:p w14:paraId="7BA082E2" w14:textId="77777777" w:rsidR="00E7212E" w:rsidRPr="002A677E" w:rsidRDefault="00E7212E" w:rsidP="00BF7D57">
            <w:pPr>
              <w:jc w:val="left"/>
              <w:rPr>
                <w:sz w:val="24"/>
                <w:rFonts w:ascii="Times New Roman" w:hAnsi="Times New Roman"/>
              </w:rPr>
            </w:pPr>
            <w:r>
              <w:rPr>
                <w:sz w:val="24"/>
                <w:rFonts w:ascii="Times New Roman" w:hAnsi="Times New Roman"/>
              </w:rPr>
              <w:t xml:space="preserve">Članak 47.a stavak 2 i članak 47.c stavci 1. i 2. Uredbe (EU) br. 575/2013</w:t>
            </w:r>
          </w:p>
          <w:p w14:paraId="57CA0E6A" w14:textId="77777777" w:rsidR="00E7212E" w:rsidRPr="002A677E" w:rsidRDefault="00E7212E" w:rsidP="00BF7D57">
            <w:pPr>
              <w:jc w:val="left"/>
              <w:rPr>
                <w:sz w:val="24"/>
                <w:rFonts w:ascii="Times New Roman" w:hAnsi="Times New Roman"/>
              </w:rPr>
            </w:pPr>
            <w:r>
              <w:rPr>
                <w:sz w:val="24"/>
                <w:rFonts w:ascii="Times New Roman" w:hAnsi="Times New Roman"/>
              </w:rPr>
              <w:t xml:space="preserve">Institucije iskazuju ukupnu vrijednost izloženosti neosiguranog dijela neprihodonosnih izloženosti raščlanjenu po vremenu koje je proteklo od kada su izloženosti klasificirane kao neprihodonosne.</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Dio neprihodonosnih izloženosti osiguran nekretninama ili stambenim kreditom za koji jamči priznati pružatelj zaštite</w:t>
            </w:r>
          </w:p>
          <w:p w14:paraId="353C8B9D" w14:textId="77777777" w:rsidR="00E7212E" w:rsidRPr="002A677E" w:rsidRDefault="00E7212E" w:rsidP="00BF7D57">
            <w:pPr>
              <w:rPr>
                <w:sz w:val="24"/>
                <w:rFonts w:ascii="Times New Roman" w:hAnsi="Times New Roman"/>
              </w:rPr>
            </w:pPr>
            <w:r>
              <w:rPr>
                <w:sz w:val="24"/>
                <w:rFonts w:ascii="Times New Roman" w:hAnsi="Times New Roman"/>
              </w:rPr>
              <w:t xml:space="preserve">Članak 47.a stavak 2., članak 47.c stavak 1. i članak 47.c stavak 3. točke (a), (b), (c), (d), (f), (h) i (i) Uredbe (EU) br. 575/2013</w:t>
            </w:r>
          </w:p>
          <w:p w14:paraId="6EC4E8B7"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ukupnu vrijednost izloženosti dijelova neprihodonosnih izloženosti osiguranih nekretninama u skladu s dijelom trećim glavom II. Uredbe (EU) br. 575/2013 ili stambenim kreditom za koji jamči priznati pružatelj zaštite iz članka 201.te uredbe.</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Dio neprihodonosnih izloženosti osiguran drugom materijalnom ili nematerijalnom kreditnom zaštitom</w:t>
            </w:r>
          </w:p>
          <w:p w14:paraId="3F457A1D" w14:textId="77777777" w:rsidR="00E7212E" w:rsidRPr="002A677E" w:rsidRDefault="00E7212E" w:rsidP="00BF7D57">
            <w:pPr>
              <w:jc w:val="left"/>
              <w:rPr>
                <w:sz w:val="24"/>
                <w:rFonts w:ascii="Times New Roman" w:hAnsi="Times New Roman"/>
              </w:rPr>
            </w:pPr>
            <w:r>
              <w:rPr>
                <w:sz w:val="24"/>
                <w:rFonts w:ascii="Times New Roman" w:hAnsi="Times New Roman"/>
              </w:rPr>
              <w:t xml:space="preserve">Članak 47.a stavak 2., članak 47.c stavak 1. i članak 47.c stavak 3. točke (a), (b), (c), (e) i (g) Uredbe (EU) br. 575/2013</w:t>
            </w:r>
            <w:r>
              <w:rPr>
                <w:sz w:val="24"/>
                <w:rFonts w:ascii="Times New Roman" w:hAnsi="Times New Roman"/>
              </w:rPr>
              <w:t xml:space="preserve"> </w:t>
            </w:r>
          </w:p>
          <w:p w14:paraId="676A8E56" w14:textId="77777777" w:rsidR="00E7212E" w:rsidRPr="002A677E" w:rsidRDefault="00E7212E" w:rsidP="00BF7D57">
            <w:pPr>
              <w:jc w:val="left"/>
              <w:rPr>
                <w:sz w:val="24"/>
                <w:rFonts w:ascii="Times New Roman" w:hAnsi="Times New Roman"/>
              </w:rPr>
            </w:pPr>
            <w:r>
              <w:rPr>
                <w:sz w:val="24"/>
                <w:rFonts w:ascii="Times New Roman" w:hAnsi="Times New Roman"/>
              </w:rPr>
              <w:t xml:space="preserve">Institucije iskazuju ukupnu vrijednost izloženosti dijelova neprihodonosnih izloženosti osiguranih drugom materijalnom ili nematerijalnom kreditnom zaštitom u skladu s dijelom trećim glavom II. Uredbe (EU) br. 575/2013.</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b/>
                <w:sz w:val="24"/>
                <w:u w:val="single"/>
                <w:rFonts w:ascii="Times New Roman" w:hAnsi="Times New Roman"/>
              </w:rPr>
            </w:pPr>
            <w:r>
              <w:rPr>
                <w:b/>
                <w:sz w:val="24"/>
                <w:u w:val="single"/>
                <w:rFonts w:ascii="Times New Roman" w:hAnsi="Times New Roman"/>
              </w:rPr>
              <w:t xml:space="preserve">Dio neprihodonosnih izloženosti za koji jamstvo ili kontrajamstvo pruža priznati pružatelj zaštite (faktor 1)</w:t>
            </w:r>
          </w:p>
          <w:p w14:paraId="4D27415B" w14:textId="7FB89EC4" w:rsidR="00DE7A8B" w:rsidRPr="00DE7A8B" w:rsidRDefault="00DE7A8B" w:rsidP="00BF7D57">
            <w:pPr>
              <w:jc w:val="left"/>
              <w:rPr>
                <w:bCs/>
                <w:sz w:val="24"/>
                <w:rFonts w:ascii="Times New Roman" w:hAnsi="Times New Roman"/>
              </w:rPr>
            </w:pPr>
            <w:r>
              <w:rPr>
                <w:sz w:val="24"/>
                <w:rFonts w:ascii="Times New Roman" w:hAnsi="Times New Roman"/>
              </w:rPr>
              <w:t xml:space="preserve">Članak 47.c stavak 4. točka (b) Uredbe (EU) br. 575/2013 (faktor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sz w:val="24"/>
                <w:rFonts w:ascii="Times New Roman" w:hAnsi="Times New Roman"/>
              </w:rPr>
            </w:pPr>
            <w:r>
              <w:rPr>
                <w:sz w:val="24"/>
                <w:rFonts w:ascii="Times New Roman" w:hAnsi="Times New Roman"/>
              </w:rPr>
              <w:t xml:space="preserve">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b/>
                <w:sz w:val="24"/>
                <w:u w:val="single"/>
                <w:rFonts w:ascii="Times New Roman" w:hAnsi="Times New Roman"/>
              </w:rPr>
            </w:pPr>
            <w:r>
              <w:rPr>
                <w:b/>
                <w:sz w:val="24"/>
                <w:u w:val="single"/>
                <w:rFonts w:ascii="Times New Roman" w:hAnsi="Times New Roman"/>
              </w:rPr>
              <w:t xml:space="preserve">Dio neprihodonosnih izloženosti za koji jamstvo ili kontrajamstvo pruža priznati pružatelj zaštite (faktor 0)</w:t>
            </w:r>
          </w:p>
          <w:p w14:paraId="1F86CE64" w14:textId="53FD9558" w:rsidR="00A13F70" w:rsidRPr="00AD1E4E" w:rsidRDefault="00DE7A8B" w:rsidP="00BF7D57">
            <w:pPr>
              <w:jc w:val="left"/>
              <w:rPr>
                <w:sz w:val="24"/>
                <w:rFonts w:ascii="Times New Roman" w:hAnsi="Times New Roman"/>
              </w:rPr>
            </w:pPr>
            <w:r>
              <w:rPr>
                <w:sz w:val="24"/>
                <w:rFonts w:ascii="Times New Roman" w:hAnsi="Times New Roman"/>
              </w:rPr>
              <w:t xml:space="preserve">Članak 47.c stavak 4. točke (a) i (b) Uredbe (EU) br. 575/2013 (faktor 0).</w:t>
            </w:r>
            <w:r>
              <w:rPr>
                <w:sz w:val="24"/>
                <w:rFonts w:ascii="Times New Roman" w:hAnsi="Times New Roman"/>
              </w:rPr>
              <w:t xml:space="preserve"> </w:t>
            </w:r>
            <w:r>
              <w:rPr>
                <w:sz w:val="24"/>
                <w:rFonts w:ascii="Times New Roman" w:hAnsi="Times New Roman"/>
              </w:rPr>
              <w:t xml:space="preserve">Izloženosti za koje je priznati pružatelj zaštite pristao ispuniti sve dužnikove obveze plaćanja prema kreditnoj instituciji u cijelosti i u skladu s izvornim rokovima za ugovorna plaćanja trebalo bi iskazati u retku 0120 (za sva razdoblja).</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sz w:val="24"/>
          <w:rFonts w:ascii="Times New Roman" w:hAnsi="Times New Roman" w:cs="Times New Roman"/>
        </w:rPr>
      </w:pPr>
      <w:bookmarkStart w:id="12" w:name="_Toc19715893"/>
      <w:bookmarkStart w:id="13" w:name="_Toc151714532"/>
      <w:r>
        <w:rPr>
          <w:sz w:val="24"/>
          <w:rFonts w:ascii="Times New Roman" w:hAnsi="Times New Roman"/>
        </w:rPr>
        <w:t xml:space="preserve">C 35.03 – ZAHTJEVI ZA MINIMALNO POKRIĆE I VRIJEDNOSTI NEPRIHODONOSNIH RESTRUKTURIRANIH IZLOŽENOSTI IZ ČLANKA 47.C STAVKA 6. UREDBE (EU) BR. 575/2013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sz w:val="24"/>
          <w:rFonts w:ascii="Times New Roman" w:hAnsi="Times New Roman" w:cs="Times New Roman"/>
        </w:rPr>
      </w:pPr>
      <w:bookmarkStart w:id="15" w:name="_Toc19715895"/>
      <w:bookmarkStart w:id="16" w:name="_Toc151714533"/>
      <w:r>
        <w:rPr>
          <w:sz w:val="24"/>
          <w:rFonts w:ascii="Times New Roman" w:hAnsi="Times New Roman"/>
        </w:rPr>
        <w:t xml:space="preserve">Upute za specifične pozicije</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sz w:val="24"/>
                <w:rFonts w:ascii="Times New Roman" w:hAnsi="Times New Roman"/>
              </w:rPr>
            </w:pPr>
            <w:r>
              <w:rPr>
                <w:sz w:val="24"/>
                <w:rFonts w:ascii="Times New Roman" w:hAnsi="Times New Roman"/>
              </w:rPr>
              <w:t xml:space="preserve">Stupci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sz w:val="24"/>
                <w:rFonts w:ascii="Times New Roman" w:hAnsi="Times New Roman"/>
              </w:rPr>
            </w:pPr>
            <w:r>
              <w:rPr>
                <w:sz w:val="24"/>
                <w:rFonts w:ascii="Times New Roman" w:hAnsi="Times New Roman"/>
              </w:rPr>
              <w:t xml:space="preserve">Upute</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sz w:val="24"/>
                <w:rFonts w:ascii="Times New Roman" w:hAnsi="Times New Roman"/>
              </w:rPr>
            </w:pPr>
            <w:r>
              <w:rPr>
                <w:sz w:val="24"/>
                <w:rFonts w:ascii="Times New Roman" w:hAnsi="Times New Roman"/>
              </w:rPr>
              <w:t xml:space="preserve">0010-0100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Vrijeme proteklo od kada su izloženosti klasificirane kao neprihodonosne</w:t>
            </w:r>
          </w:p>
          <w:p w14:paraId="6028F7B7" w14:textId="77777777" w:rsidR="00E7212E" w:rsidRPr="002A677E" w:rsidRDefault="00E7212E" w:rsidP="00BF7D57">
            <w:pPr>
              <w:rPr>
                <w:sz w:val="24"/>
                <w:rFonts w:ascii="Times New Roman" w:hAnsi="Times New Roman"/>
              </w:rPr>
            </w:pPr>
            <w:r>
              <w:rPr>
                <w:sz w:val="24"/>
                <w:rFonts w:ascii="Times New Roman" w:hAnsi="Times New Roman"/>
              </w:rPr>
              <w:t xml:space="preserve">„Vrijeme proteklo od kada su izloženosti klasificirane kao neprihodonosne” znači vrijeme u godinama koje je proteklo od kada je izloženost klasificirana kao neprihodonosna.</w:t>
            </w:r>
            <w:r>
              <w:rPr>
                <w:sz w:val="24"/>
                <w:rFonts w:ascii="Times New Roman" w:hAnsi="Times New Roman"/>
              </w:rPr>
              <w:t xml:space="preserve"> </w:t>
            </w:r>
            <w:r>
              <w:rPr>
                <w:sz w:val="24"/>
                <w:rFonts w:ascii="Times New Roman" w:hAnsi="Times New Roman"/>
              </w:rPr>
              <w:t xml:space="preserve">Institucije iskazuju podatke o izloženostima kojima referentni datum pripada u odgovarajuće vremenski interval navodeći razdoblje u godinama nakon klasifikacije izloženosti kao neprihodonosnih, neovisno o primjeni mjera za restrukturiranje.</w:t>
            </w:r>
          </w:p>
          <w:p w14:paraId="1EB41D92" w14:textId="77777777" w:rsidR="00E7212E" w:rsidRPr="002A677E" w:rsidRDefault="00E7212E" w:rsidP="00BF7D57">
            <w:pPr>
              <w:rPr>
                <w:sz w:val="24"/>
                <w:rFonts w:ascii="Times New Roman" w:hAnsi="Times New Roman"/>
              </w:rPr>
            </w:pPr>
            <w:r>
              <w:rPr>
                <w:sz w:val="24"/>
                <w:rFonts w:ascii="Times New Roman" w:hAnsi="Times New Roman"/>
              </w:rPr>
              <w:t xml:space="preserve">Za vremenski interval „&gt; X godina/godine, &lt;= Y godina/godine”, institucije iskazuju podatke o izloženostima za koje referentni datum odgovara razdoblju između prvog i zadnjeg dana godine Y nakon klasifikacije tih izloženosti kao neprihodonosnih.</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Ukupno</w:t>
            </w:r>
          </w:p>
          <w:p w14:paraId="63F44A7E"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zbroj svih stupaca od 0010 do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sz w:val="24"/>
                <w:rFonts w:ascii="Times New Roman" w:hAnsi="Times New Roman"/>
              </w:rPr>
            </w:pPr>
            <w:r>
              <w:rPr>
                <w:sz w:val="24"/>
                <w:rFonts w:ascii="Times New Roman" w:hAnsi="Times New Roman"/>
              </w:rPr>
              <w:t xml:space="preserve">Redci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sz w:val="24"/>
                <w:rFonts w:ascii="Times New Roman" w:hAnsi="Times New Roman"/>
              </w:rPr>
            </w:pPr>
            <w:r>
              <w:rPr>
                <w:sz w:val="24"/>
                <w:rFonts w:ascii="Times New Roman" w:hAnsi="Times New Roman"/>
              </w:rPr>
              <w:t xml:space="preserve">Upute</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Ukupni zahtjevi za minimalno pokriće</w:t>
            </w:r>
          </w:p>
          <w:p w14:paraId="1C8DD96C"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 i članak 47.c stavak 6. Uredbe (EU) br. 575/2013</w:t>
            </w:r>
          </w:p>
          <w:p w14:paraId="08DABFBB" w14:textId="77777777" w:rsidR="00E7212E" w:rsidRPr="002A677E" w:rsidRDefault="00E7212E" w:rsidP="00BF7D57">
            <w:pPr>
              <w:rPr>
                <w:sz w:val="24"/>
                <w:rFonts w:ascii="Times New Roman" w:hAnsi="Times New Roman"/>
              </w:rPr>
            </w:pPr>
            <w:r>
              <w:rPr>
                <w:sz w:val="24"/>
                <w:rFonts w:ascii="Times New Roman" w:hAnsi="Times New Roman"/>
              </w:rPr>
              <w:t xml:space="preserve">Za izračun ukupnih zahtjeva za minimalno pokriće za neprihodonosne restrukturirane izloženosti iz članka 47.c stavka 6. Uredbe (EU) br. 575/2013, institucije zbrajaju zahtjeve za minimalno pokriće za neosigurani dio restrukturiranih neprihodonosnih izloženosti (redak 0020), dio restrukturiranih neprihodonosnih izloženosti osiguranih nekretninama ili stambenim kreditom za koji jamči priznati pružatelj zaštite (redak 0030) i dio restrukturiranih neprihodonosnih izloženosti osiguran drugom materijalnom ili nematerijalnom kreditnom zaštitom (redak 0040).</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Neosigurani dio neprihodonosnih izloženosti</w:t>
            </w:r>
          </w:p>
          <w:p w14:paraId="01C888D8"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 podtočka i. i članak 47.c stavci 2. i 6. Uredbe (EU) br. 575/2013</w:t>
            </w:r>
          </w:p>
          <w:p w14:paraId="0536875C" w14:textId="77777777" w:rsidR="00E7212E" w:rsidRPr="002A677E" w:rsidRDefault="00E7212E" w:rsidP="00BF7D57">
            <w:pPr>
              <w:rPr>
                <w:sz w:val="24"/>
                <w:rFonts w:ascii="Times New Roman" w:hAnsi="Times New Roman"/>
              </w:rPr>
            </w:pPr>
            <w:r>
              <w:rPr>
                <w:sz w:val="24"/>
                <w:rFonts w:ascii="Times New Roman" w:hAnsi="Times New Roman"/>
              </w:rPr>
              <w:t xml:space="preserve">Institucije iskazuju ukupne zahtjeve za minimalno pokriće za neosigurani dio neprihodonosnih restrukturiranih izloženosti iz članka 47.c stavka 6. Uredbe (EU) br. 575/2013, tj. ukupne izračune na razini izloženosti.</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Dio neprihodonosnih izloženosti osiguran nekretninama ili stambenim kreditom za koji jamči priznati pružatelj zaštite</w:t>
            </w:r>
          </w:p>
          <w:p w14:paraId="073D5D9E"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 podtočka ii. i članak 47.c stavak 3. točke (a), (b), (c), (d), (f), (h) i (i), članak 47.c stavak 6. Uredbe (EU) br. 575/2013</w:t>
            </w:r>
          </w:p>
          <w:p w14:paraId="583D1B90"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ukupne zahtjeve za minimalno pokriće za dijelove neprihodonosnih restrukturiranih izloženosti osigurane nekretninama u skladu s dijelom trećim glavom II. Uredbe (EU) br. 575/2013 ili koji su stambeni krediti za koje jamči priznati pružatelj zaštite iz članka 201. te uredbe, iz članka 47.c stavka 6. te uredbe, tj. ukupne izračune na razini izloženosti.</w:t>
            </w:r>
            <w:r>
              <w:rPr>
                <w:sz w:val="24"/>
                <w:rFonts w:ascii="Times New Roman" w:hAnsi="Times New Roman"/>
              </w:rPr>
              <w:t xml:space="preserve">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Dio neprihodonosnih izloženosti osiguran drugom materijalnom ili nematerijalnom kreditnom zaštitom</w:t>
            </w:r>
          </w:p>
          <w:p w14:paraId="001BEF19" w14:textId="77777777" w:rsidR="00E7212E" w:rsidRPr="002A677E" w:rsidRDefault="00E7212E" w:rsidP="00BF7D57">
            <w:pPr>
              <w:rPr>
                <w:sz w:val="24"/>
                <w:rFonts w:ascii="Times New Roman" w:hAnsi="Times New Roman"/>
              </w:rPr>
            </w:pPr>
            <w:r>
              <w:rPr>
                <w:sz w:val="24"/>
                <w:rFonts w:ascii="Times New Roman" w:hAnsi="Times New Roman"/>
              </w:rPr>
              <w:t xml:space="preserve">Članak 47.c stavak 1. točka (a) podtočka ii. i članak 47.c stavak 3. točke (a), (b), (c), (e) i (g), članak 47.c stavak 6. Uredbe (EU) br. 575/2013</w:t>
            </w:r>
          </w:p>
          <w:p w14:paraId="4AB04E40" w14:textId="77777777" w:rsidR="00E7212E" w:rsidRPr="002A677E" w:rsidRDefault="00E7212E" w:rsidP="00BF7D57">
            <w:pPr>
              <w:rPr>
                <w:sz w:val="24"/>
                <w:rFonts w:ascii="Times New Roman" w:hAnsi="Times New Roman"/>
              </w:rPr>
            </w:pPr>
            <w:r>
              <w:rPr>
                <w:sz w:val="24"/>
                <w:rFonts w:ascii="Times New Roman" w:hAnsi="Times New Roman"/>
              </w:rPr>
              <w:t xml:space="preserve">Institucije iskazuju ukupne zahtjeve za minimalno pokriće za dijelove neprihodonosnih restrukturiranih izloženosti osigurane drugom materijalnom ili nematerijalnom kreditnom zaštitom iz članka 47.c stavka 6. Uredbe (EU) br. 575/2013, tj. ukupne izračune na razini izloženosti.</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Vrijednost izloženosti</w:t>
            </w:r>
          </w:p>
          <w:p w14:paraId="1D4AA342" w14:textId="77777777" w:rsidR="00E7212E" w:rsidRPr="002A677E" w:rsidRDefault="00E7212E" w:rsidP="00BF7D57">
            <w:pPr>
              <w:rPr>
                <w:sz w:val="24"/>
                <w:rFonts w:ascii="Times New Roman" w:hAnsi="Times New Roman"/>
              </w:rPr>
            </w:pPr>
            <w:r>
              <w:rPr>
                <w:sz w:val="24"/>
                <w:rFonts w:ascii="Times New Roman" w:hAnsi="Times New Roman"/>
              </w:rPr>
              <w:t xml:space="preserve">Članak 47.a stavak 2. i članak 47.c stavak 6. Uredbe (EU) br. 575/2013</w:t>
            </w:r>
          </w:p>
          <w:p w14:paraId="5365D67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Za izračun vrijednosti izloženosti institucije zbrajaju vrijednosti izloženosti za neosigurani dio neprihodonosnih izloženosti (redak 0060), dio neprihodonosnih izloženosti osiguran nekretninama ili stambenim kreditom za koji jamči priznati pružatelj zaštite (redak 0070) i dio neprihodonosnih izloženosti osiguran drugom materijalnom ili nematerijalnom kreditnom zaštitom (redak 0120), prema potrebi.</w:t>
            </w:r>
            <w:r>
              <w:rPr>
                <w:sz w:val="24"/>
                <w:rFonts w:ascii="Times New Roman" w:hAnsi="Times New Roman"/>
              </w:rPr>
              <w:t xml:space="preserve">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Neosigurani dio neprihodonosnih izloženosti</w:t>
            </w:r>
          </w:p>
          <w:p w14:paraId="5A3C8BE2" w14:textId="77777777" w:rsidR="00E7212E" w:rsidRPr="002A677E" w:rsidRDefault="00E7212E" w:rsidP="00BF7D57">
            <w:pPr>
              <w:jc w:val="left"/>
              <w:rPr>
                <w:sz w:val="24"/>
                <w:rFonts w:ascii="Times New Roman" w:hAnsi="Times New Roman"/>
              </w:rPr>
            </w:pPr>
            <w:r>
              <w:rPr>
                <w:sz w:val="24"/>
                <w:rFonts w:ascii="Times New Roman" w:hAnsi="Times New Roman"/>
              </w:rPr>
              <w:t xml:space="preserve">Članak 47.a stavak 2., članak 47.c stavci 2. i 6. Uredbe (EU) br. 575/2013</w:t>
            </w:r>
          </w:p>
          <w:p w14:paraId="5FCF3D8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ukupnu vrijednost izloženosti neosiguranog dijela restrukturiranih neprihodonosnih izloženosti iz članka 47.c stavka 6. Uredbe (EU) br. 575/2013 ako je prva mjera restrukturiranja odobrena između prvog i posljednjeg dana druge godine nakon što je izloženost klasificirana kao neprihodonosna (&gt;1 godine;</w:t>
            </w:r>
            <w:r>
              <w:rPr>
                <w:sz w:val="24"/>
                <w:rFonts w:ascii="Times New Roman" w:hAnsi="Times New Roman"/>
              </w:rPr>
              <w:t xml:space="preserve"> </w:t>
            </w:r>
            <w:r>
              <w:rPr>
                <w:sz w:val="24"/>
                <w:rFonts w:ascii="Times New Roman" w:hAnsi="Times New Roman"/>
              </w:rPr>
              <w:t xml:space="preserve">&lt;= 2 godine).</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Dio neprihodonosnih izloženosti osiguran nekretninama ili stambenim kreditom za koji jamči priznati pružatelj zaštite</w:t>
            </w:r>
          </w:p>
          <w:p w14:paraId="6D8528EC" w14:textId="77777777" w:rsidR="00E7212E" w:rsidRPr="002A677E" w:rsidRDefault="00E7212E" w:rsidP="00BF7D57">
            <w:pPr>
              <w:rPr>
                <w:sz w:val="24"/>
                <w:rFonts w:ascii="Times New Roman" w:hAnsi="Times New Roman"/>
              </w:rPr>
            </w:pPr>
            <w:r>
              <w:rPr>
                <w:sz w:val="24"/>
                <w:rFonts w:ascii="Times New Roman" w:hAnsi="Times New Roman"/>
              </w:rPr>
              <w:t xml:space="preserve">Članak 47.a stavak 2., članak 47.c stavak 1. i članak 47.c stavak 3. točke (a), (b), (c), (d), (f), (h) i (i), članak 47.c stavak 6. Uredbe (EU) br. 575/2013</w:t>
            </w:r>
          </w:p>
          <w:p w14:paraId="287FCDE3"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ukupnu vrijednost izloženosti dijelova restrukturiranih neprihodonosnih izloženosti iz članka 47.c stavka 6. Uredbe (EU) br. 575/2013 osiguranih nekretninama u skladu s dijelom trećim glavom II. te uredbe ili stambenim kreditom za koji jamči priznati pružatelj zaštite iz članka 201. te uredbe.</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2 i &lt;= 3 godine nakon što je izloženost klasificirana kao neprihodonosna</w:t>
            </w:r>
          </w:p>
          <w:p w14:paraId="132D2A99"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vrijednost izloženosti restrukturiranih neprihodonosnih izloženosti iz članka 47.c stavka 6. Uredbe (EU) br. 575/2013 osiguranih nekretninama ili stambenim kreditom za koji jamči priznati pružatelj zaštite ako je prva mjera restrukturiranja odobrena između prvog i posljednjeg dana treće godine nakon što je izloženost klasificirana kao neprihodonosna.</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3 i &lt;= 4 godine nakon što je izloženost klasificirana kao neprihodonosna</w:t>
            </w:r>
          </w:p>
          <w:p w14:paraId="5A90152E"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vrijednost izloženosti restrukturiranih neprihodonosnih izloženosti iz članka 47.c stavka 6. Uredbe (EU) br. 575/2013 osiguranih nekretninama ili stambenim kreditom za koji jamči priznati pružatelj zaštite ako je prva mjera restrukturiranja odobrena između prvog i posljednjeg dana četvrte godine nakon što je izloženost klasificirana kao neprihodonosna.</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4 i &lt;= 5 godina nakon što je izloženost klasificirana kao neprihodonosna</w:t>
            </w:r>
          </w:p>
          <w:p w14:paraId="5C5E573C"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vrijednost izloženosti restrukturiranih neprihodonosnih izloženosti iz članka 47.c stavka 6. Uredbe (EU) br. 575/2013 osiguranih nekretninama ili stambenim kreditom za koji jamči priznati pružatelj zaštite ako je prva mjera restrukturiranja odobrena između prvog i posljednjeg dana pete godine nakon što je izloženost klasificirana kao neprihodonosna.</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5 i &lt;= 6 godina nakon što je izloženost klasificirana kao neprihodonosna</w:t>
            </w:r>
          </w:p>
          <w:p w14:paraId="59F81DBE"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vrijednost izloženosti restrukturiranih neprihodonosnih izloženosti iz članka 47.c stavka 6. Uredbe (EU) br. 575/2013 osiguranih nekretninama ili stambenim kreditom za koji jamči priznati pružatelj zaštite ako je prva mjera restrukturiranja odobrena između prvog i posljednjeg dana šeste godine nakon što je izloženost klasificirana kao neprihodonosna.</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sz w:val="24"/>
                <w:rFonts w:ascii="Times New Roman" w:hAnsi="Times New Roman"/>
              </w:rPr>
            </w:pPr>
            <w:r>
              <w:rPr>
                <w:sz w:val="24"/>
                <w:rFonts w:ascii="Times New Roman" w:hAnsi="Times New Roman"/>
              </w:rPr>
              <w:t xml:space="preserve">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b/>
                <w:sz w:val="24"/>
                <w:rFonts w:ascii="Times New Roman" w:hAnsi="Times New Roman"/>
              </w:rPr>
            </w:pPr>
            <w:r>
              <w:rPr>
                <w:b/>
                <w:sz w:val="24"/>
                <w:rFonts w:ascii="Times New Roman" w:hAnsi="Times New Roman"/>
              </w:rPr>
              <w:t xml:space="preserve">Dio neprihodonosnih izloženosti osiguran drugom materijalnom ili nematerijalnom kreditnom zaštitom</w:t>
            </w:r>
          </w:p>
          <w:p w14:paraId="4697BFEE" w14:textId="77777777" w:rsidR="00E7212E" w:rsidRPr="002A677E" w:rsidRDefault="00E7212E" w:rsidP="00BF7D57">
            <w:pPr>
              <w:jc w:val="left"/>
              <w:rPr>
                <w:sz w:val="24"/>
                <w:rFonts w:ascii="Times New Roman" w:hAnsi="Times New Roman"/>
              </w:rPr>
            </w:pPr>
            <w:r>
              <w:rPr>
                <w:sz w:val="24"/>
                <w:rFonts w:ascii="Times New Roman" w:hAnsi="Times New Roman"/>
              </w:rPr>
              <w:t xml:space="preserve">Članak 47.c stavak 1., članak 47.c stavak 3. točke (a), (b), (c), (e) i (g), članak 47.c stavak 6. Uredbe (EU) br. 575/2013</w:t>
            </w:r>
          </w:p>
          <w:p w14:paraId="46AAEE0B"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ukupnu vrijednost izloženosti dijelova restrukturiranih neprihodonosnih izloženosti iz članka 47.c stavka 6. Uredbe (EU) br. 575/2013 osiguranih drugom materijalnom ili nematerijalnom kreditnom zaštitom u skladu s dijelom trećim glavom II. Uredbe (EU) br. 575/2013.</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sz w:val="24"/>
                <w:rFonts w:ascii="Times New Roman" w:hAnsi="Times New Roman"/>
              </w:rPr>
            </w:pPr>
            <w:r>
              <w:rPr>
                <w:sz w:val="24"/>
                <w:rFonts w:ascii="Times New Roman" w:hAnsi="Times New Roman"/>
              </w:rPr>
              <w:t xml:space="preserve">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2 i &lt;= 3 godine nakon što je izloženost klasificirana kao neprihodonosna</w:t>
            </w:r>
          </w:p>
          <w:p w14:paraId="3196D6C6" w14:textId="77777777" w:rsidR="00E7212E" w:rsidRPr="002A677E" w:rsidRDefault="00E7212E" w:rsidP="00BF7D57">
            <w:pPr>
              <w:rPr>
                <w:b/>
                <w:sz w:val="24"/>
                <w:rFonts w:ascii="Times New Roman" w:hAnsi="Times New Roman"/>
              </w:rPr>
            </w:pPr>
            <w:r>
              <w:rPr>
                <w:sz w:val="24"/>
                <w:rFonts w:ascii="Times New Roman" w:hAnsi="Times New Roman"/>
              </w:rPr>
              <w:t xml:space="preserve">Institucije iskazuju vrijednost izloženosti restrukturiranih neprihodonosnih izloženosti iz članka 47.c stavka 6. Uredbe (EU) br. 575/2013 osiguranih drugom materijalnom ili nematerijalnom kreditnom zaštitom, ako je prva mjera restrukturiranja odobrena između prvog i posljednjeg dana treće godine nakon što je izloženost klasificirana kao neprihodonosna.</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sz w:val="24"/>
                <w:rFonts w:ascii="Times New Roman" w:hAnsi="Times New Roman"/>
              </w:rPr>
            </w:pPr>
            <w:r>
              <w:rPr>
                <w:sz w:val="24"/>
                <w:rFonts w:ascii="Times New Roman" w:hAnsi="Times New Roman"/>
              </w:rPr>
              <w:t xml:space="preserve">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3 i &lt;= 4 godine nakon što je izloženost klasificirana kao neprihodonosna</w:t>
            </w:r>
          </w:p>
          <w:p w14:paraId="601D14A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vrijednost izloženosti restrukturiranih neprihodonosnih izloženosti iz članka 47.c stavka 6. Uredbe (EU) br. 575/2013 osiguranih drugom materijalnom ili nematerijalnom kreditnom zaštitom, ako je prva mjera restrukturiranja odobrena između prvog i posljednjeg dana četvrte godine nakon što je izloženost klasificirana kao neprihodonosna.</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sz w:val="24"/>
                <w:rFonts w:ascii="Times New Roman" w:hAnsi="Times New Roman"/>
              </w:rPr>
            </w:pPr>
            <w:r>
              <w:rPr>
                <w:sz w:val="24"/>
                <w:rFonts w:ascii="Times New Roman" w:hAnsi="Times New Roman"/>
              </w:rPr>
              <w:t xml:space="preserve">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4 i &lt;= 5 godina nakon što je izloženost klasificirana kao neprihodonosna</w:t>
            </w:r>
          </w:p>
          <w:p w14:paraId="2D884E8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vrijednost izloženosti restrukturiranih neprihodonosnih izloženosti iz članka 47.c stavka 6. Uredbe (EU) br. 575/2013 osiguranih drugom materijalnom ili nematerijalnom kreditnom zaštitom, ako je prva mjera restrukturiranja odobrena između prvog i posljednjeg dana pete godine nakon što je izloženost klasificirana kao neprihodonosna.</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sz w:val="24"/>
                <w:rFonts w:ascii="Times New Roman" w:hAnsi="Times New Roman"/>
              </w:rPr>
            </w:pPr>
            <w:r>
              <w:rPr>
                <w:sz w:val="24"/>
                <w:rFonts w:ascii="Times New Roman" w:hAnsi="Times New Roman"/>
              </w:rPr>
              <w:t xml:space="preserve">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5 i &lt;= 6 godina nakon što je izloženost klasificirana kao neprihodonosna</w:t>
            </w:r>
          </w:p>
          <w:p w14:paraId="337D9061"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Institucije iskazuju vrijednost izloženosti restrukturiranih neprihodonosnih izloženosti iz članka 47.c stavka 6. Uredbe (EU) br. 575/2013 osiguranih drugom materijalnom ili nematerijalnom kreditnom zaštitom, ako je prva mjera restrukturiranja odobrena između prvog i posljednjeg dana šeste godine nakon što je izloženost klasificirana kao neprihodonosna.</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FFFDF" w14:textId="690734D7" w:rsidR="00E7212E" w:rsidRDefault="00E7212E">
    <w:pPr>
      <w:pStyle w:val="Header"/>
    </w:pPr>
    <w: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Title:  - Description: EBA Redovita primjen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2CB4E" w14:textId="718E4983" w:rsidR="00E7212E" w:rsidRDefault="00E7212E">
    <w:pPr>
      <w:pStyle w:val="Header"/>
    </w:pPr>
    <w: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Title:  - Description: EBA Redovita primjen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AC92" w14:textId="374ACA92" w:rsidR="00E7212E" w:rsidRDefault="00E7212E">
    <w:pPr>
      <w:pStyle w:val="Header"/>
    </w:pPr>
    <w: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Title:  - Description: EBA Redovita primjen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val="hr-HR"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lang w:val="hr-HR"/>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hr-HR"/>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74ACDCB8-52DF-43A1-9F19-A1FF2F73B41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3494</Words>
  <Characters>19917</Characters>
  <Application>Microsoft Office Word</Application>
  <DocSecurity>0</DocSecurity>
  <Lines>165</Lines>
  <Paragraphs>46</Paragraphs>
  <ScaleCrop>false</ScaleCrop>
  <Company/>
  <LinksUpToDate>false</LinksUpToDate>
  <CharactersWithSpaces>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